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9DB07">
      <w:pPr>
        <w:jc w:val="center"/>
        <w:rPr>
          <w:rFonts w:ascii="仿宋_GB2312" w:eastAsia="仿宋_GB2312"/>
          <w:b/>
          <w:sz w:val="32"/>
          <w:szCs w:val="32"/>
        </w:rPr>
      </w:pPr>
    </w:p>
    <w:p w14:paraId="63A4B180">
      <w:pPr>
        <w:jc w:val="center"/>
        <w:rPr>
          <w:rFonts w:ascii="黑体" w:eastAsia="黑体"/>
          <w:sz w:val="72"/>
          <w:szCs w:val="72"/>
        </w:rPr>
      </w:pPr>
    </w:p>
    <w:p w14:paraId="7D18DD0F">
      <w:pPr>
        <w:jc w:val="center"/>
        <w:rPr>
          <w:rFonts w:ascii="黑体" w:eastAsia="黑体"/>
          <w:sz w:val="72"/>
          <w:szCs w:val="72"/>
        </w:rPr>
      </w:pPr>
    </w:p>
    <w:p w14:paraId="6B06A9FE">
      <w:pPr>
        <w:jc w:val="center"/>
        <w:rPr>
          <w:rFonts w:ascii="黑体" w:eastAsia="黑体"/>
          <w:sz w:val="72"/>
          <w:szCs w:val="72"/>
        </w:rPr>
      </w:pPr>
    </w:p>
    <w:p w14:paraId="6BF8FA68">
      <w:pPr>
        <w:jc w:val="center"/>
        <w:rPr>
          <w:rFonts w:ascii="黑体" w:eastAsia="黑体"/>
          <w:sz w:val="72"/>
          <w:szCs w:val="72"/>
        </w:rPr>
      </w:pPr>
    </w:p>
    <w:p w14:paraId="7990BD7D">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5029FF75">
      <w:pPr>
        <w:jc w:val="center"/>
        <w:rPr>
          <w:rFonts w:ascii="黑体" w:eastAsia="黑体"/>
          <w:sz w:val="52"/>
          <w:szCs w:val="52"/>
        </w:rPr>
      </w:pPr>
    </w:p>
    <w:p w14:paraId="73D91194">
      <w:pPr>
        <w:jc w:val="center"/>
        <w:rPr>
          <w:rFonts w:ascii="黑体" w:eastAsia="黑体"/>
          <w:sz w:val="52"/>
          <w:szCs w:val="52"/>
        </w:rPr>
      </w:pPr>
    </w:p>
    <w:p w14:paraId="0FE8A761">
      <w:pPr>
        <w:jc w:val="center"/>
        <w:rPr>
          <w:rFonts w:ascii="黑体" w:eastAsia="黑体"/>
          <w:sz w:val="52"/>
          <w:szCs w:val="52"/>
        </w:rPr>
      </w:pPr>
    </w:p>
    <w:p w14:paraId="41A2CC91">
      <w:pPr>
        <w:jc w:val="center"/>
        <w:rPr>
          <w:rFonts w:ascii="黑体" w:eastAsia="黑体"/>
          <w:sz w:val="52"/>
          <w:szCs w:val="52"/>
        </w:rPr>
      </w:pPr>
    </w:p>
    <w:p w14:paraId="6B4EC856">
      <w:pPr>
        <w:jc w:val="center"/>
        <w:rPr>
          <w:rFonts w:ascii="黑体" w:eastAsia="黑体"/>
          <w:sz w:val="32"/>
          <w:szCs w:val="32"/>
        </w:rPr>
      </w:pPr>
    </w:p>
    <w:p w14:paraId="1E17D032">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79F73DE">
      <w:pPr>
        <w:spacing w:line="500" w:lineRule="exact"/>
        <w:ind w:firstLine="645"/>
        <w:jc w:val="center"/>
        <w:rPr>
          <w:rFonts w:hint="eastAsia" w:ascii="宋体" w:hAnsi="宋体" w:cs="宋体"/>
          <w:b/>
          <w:bCs/>
          <w:kern w:val="0"/>
          <w:sz w:val="36"/>
          <w:szCs w:val="36"/>
        </w:rPr>
      </w:pPr>
    </w:p>
    <w:p w14:paraId="5CE39FE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7CB5B67">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874820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74E32D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6FEB3D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7147B90">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5921E2E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13C024A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82F373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56B8C8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08DEB60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576052D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FA82B5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216F9684">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F9FC88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80F08C2">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51EC7578">
      <w:pPr>
        <w:tabs>
          <w:tab w:val="center" w:pos="6979"/>
        </w:tabs>
        <w:spacing w:before="156" w:beforeLines="50" w:after="156" w:afterLines="50"/>
        <w:jc w:val="center"/>
        <w:rPr>
          <w:rFonts w:ascii="宋体" w:hAnsi="宋体" w:cs="宋体"/>
          <w:b/>
          <w:bCs/>
          <w:spacing w:val="40"/>
          <w:kern w:val="0"/>
          <w:sz w:val="32"/>
          <w:szCs w:val="32"/>
        </w:rPr>
      </w:pPr>
    </w:p>
    <w:p w14:paraId="0F91E9A4">
      <w:pPr>
        <w:tabs>
          <w:tab w:val="center" w:pos="6979"/>
        </w:tabs>
        <w:spacing w:before="156" w:beforeLines="50" w:after="156" w:afterLines="50"/>
        <w:jc w:val="center"/>
        <w:rPr>
          <w:rFonts w:ascii="宋体" w:hAnsi="宋体" w:cs="宋体"/>
          <w:b/>
          <w:bCs/>
          <w:spacing w:val="40"/>
          <w:kern w:val="0"/>
          <w:sz w:val="32"/>
          <w:szCs w:val="32"/>
        </w:rPr>
      </w:pPr>
    </w:p>
    <w:p w14:paraId="036876E5">
      <w:pPr>
        <w:tabs>
          <w:tab w:val="center" w:pos="6979"/>
        </w:tabs>
        <w:spacing w:before="156" w:beforeLines="50" w:after="156" w:afterLines="50"/>
        <w:jc w:val="center"/>
        <w:rPr>
          <w:rFonts w:ascii="宋体" w:hAnsi="宋体" w:cs="宋体"/>
          <w:b/>
          <w:bCs/>
          <w:spacing w:val="40"/>
          <w:kern w:val="0"/>
          <w:sz w:val="32"/>
          <w:szCs w:val="32"/>
        </w:rPr>
      </w:pPr>
    </w:p>
    <w:p w14:paraId="6B1365B0">
      <w:pPr>
        <w:tabs>
          <w:tab w:val="center" w:pos="6979"/>
        </w:tabs>
        <w:spacing w:before="156" w:beforeLines="50" w:after="156" w:afterLines="50"/>
        <w:jc w:val="center"/>
        <w:rPr>
          <w:rFonts w:ascii="宋体" w:hAnsi="宋体" w:cs="宋体"/>
          <w:b/>
          <w:bCs/>
          <w:spacing w:val="40"/>
          <w:kern w:val="0"/>
          <w:sz w:val="32"/>
          <w:szCs w:val="32"/>
        </w:rPr>
      </w:pPr>
    </w:p>
    <w:p w14:paraId="6C3851A5">
      <w:pPr>
        <w:tabs>
          <w:tab w:val="center" w:pos="6979"/>
        </w:tabs>
        <w:spacing w:before="156" w:beforeLines="50" w:after="156" w:afterLines="50"/>
        <w:jc w:val="center"/>
        <w:rPr>
          <w:rFonts w:ascii="宋体" w:hAnsi="宋体" w:cs="宋体"/>
          <w:b/>
          <w:bCs/>
          <w:spacing w:val="40"/>
          <w:kern w:val="0"/>
          <w:sz w:val="32"/>
          <w:szCs w:val="32"/>
        </w:rPr>
      </w:pPr>
    </w:p>
    <w:p w14:paraId="6E9D4C9A">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2443658">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2FE8A6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523DED7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50C173BE">
      <w:pPr>
        <w:snapToGrid w:val="0"/>
        <w:spacing w:line="520" w:lineRule="exact"/>
        <w:ind w:firstLine="560" w:firstLineChars="200"/>
        <w:rPr>
          <w:rFonts w:hint="eastAsia" w:ascii="仿宋_GB2312" w:eastAsia="仿宋_GB2312" w:cs="Times New Roman"/>
          <w:sz w:val="28"/>
          <w:szCs w:val="28"/>
          <w:highlight w:val="yellow"/>
        </w:rPr>
      </w:pPr>
      <w:r>
        <w:rPr>
          <w:rFonts w:hint="eastAsia" w:ascii="仿宋_GB2312" w:eastAsia="仿宋_GB2312"/>
          <w:sz w:val="28"/>
          <w:szCs w:val="28"/>
          <w:highlight w:val="none"/>
        </w:rPr>
        <w:t>区委编办是中共北京市大兴区委机构编制委员会（简称区委编委）的常设办事机构，在区委编委的领导下负责本区行政管理体制和机构改革以及机构编制日常管理工作，列入区委序列。</w:t>
      </w:r>
    </w:p>
    <w:p w14:paraId="116C05C7">
      <w:pPr>
        <w:spacing w:line="620" w:lineRule="exact"/>
        <w:ind w:firstLine="560" w:firstLineChars="200"/>
        <w:rPr>
          <w:rFonts w:hint="eastAsia" w:ascii="仿宋_GB2312" w:eastAsia="仿宋_GB2312"/>
          <w:kern w:val="0"/>
          <w:sz w:val="28"/>
          <w:szCs w:val="28"/>
          <w:highlight w:val="none"/>
          <w:lang w:eastAsia="zh-CN"/>
        </w:rPr>
      </w:pPr>
      <w:r>
        <w:rPr>
          <w:rFonts w:hint="eastAsia" w:ascii="仿宋_GB2312" w:eastAsia="仿宋_GB2312"/>
          <w:kern w:val="0"/>
          <w:sz w:val="28"/>
          <w:szCs w:val="28"/>
          <w:highlight w:val="none"/>
          <w:lang w:eastAsia="zh-CN"/>
        </w:rPr>
        <w:t>（一）单位职责</w:t>
      </w:r>
    </w:p>
    <w:p w14:paraId="0C54BAA7">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1.贯彻落实党中央、国务院和市委、市政府关于机构编制的方针、政策、法规；统一管理本区党政机关，人大、政协、法院、检察院机关，工商联、人民团体机关及全区事业单位的机构编制工作。</w:t>
      </w:r>
    </w:p>
    <w:p w14:paraId="5E9288DF">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2.研究拟订本区行政管理体制和机构改革方案；协调并组织实施本区行政管理体制和机构改革工作。</w:t>
      </w:r>
    </w:p>
    <w:p w14:paraId="5D4BFEC9">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3.负责协调区委、区政府各部门的职责配置及调整工作，协调区委、区政府各部门与镇之间的职责分工。</w:t>
      </w:r>
    </w:p>
    <w:p w14:paraId="752C1DDD">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4.负责审核报批区委、人大、政府、政协、法院、检察院机关和工商联、人民团体机关的机构设置；负责审批处级机关的内设机构。</w:t>
      </w:r>
    </w:p>
    <w:p w14:paraId="5F503E37">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5.统一管理全区行政编制总额；负责核定本区党政机关，人大、政协、法院、检察院机关，工商联、人民团体机关的行政编制。</w:t>
      </w:r>
    </w:p>
    <w:p w14:paraId="1AFDD145">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6.研究拟订本区事业单位管理体制和机构改革方案，并组织实施。</w:t>
      </w:r>
    </w:p>
    <w:p w14:paraId="52BA5A31">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7.负责审核报批相当正副处级事业单位的机构设置、职责配置和人员编制；核定相当正副科级事业单位的机构设置、职责配置和人员编制；统一管理全区事业编制总额；负责核定区委、区政府直属事业单位，本区党政机关，人大、政协、法院、检察院机关，工商联、人民团体机关所属事业单位的编制。</w:t>
      </w:r>
    </w:p>
    <w:p w14:paraId="102707B1">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8.根据上级有关规定，审核报批本区机关、事业单位处级领导职数；核定本区机关和事业单位科级领导职数。</w:t>
      </w:r>
    </w:p>
    <w:p w14:paraId="04434352">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9.负责全区党政机关，人大、政协、法院、检察院机关，工商联、人民团体机关和事业单位增加人员计划的审核、新增人员和流动调整人员的审批；负责全区机关和事业单位使用临时工和社会化人员的审批；进一步强化机构编制实名制管理工作。</w:t>
      </w:r>
    </w:p>
    <w:p w14:paraId="6377D4B9">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10.负责区委、区政府直属事业单位，本区党政机关，人大、政协、法院、检察院机关，工商联、人民团体机关所属事业单位的登记管理工作。</w:t>
      </w:r>
    </w:p>
    <w:p w14:paraId="5E5D3DA1">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11.负责审核报批区议事协调机构和临时机构的设置、变更等事项。</w:t>
      </w:r>
    </w:p>
    <w:p w14:paraId="601481E4">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12.负责监督检查本区各级机关、事业单位贯彻执行机构编制工作方针、政策、法规的情况以及机构编制的落实情况。</w:t>
      </w:r>
    </w:p>
    <w:p w14:paraId="6B9CAF17">
      <w:pPr>
        <w:spacing w:line="62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13.负责全区事业单位机构编制数据库的数据采集、汇总、更新、管理及与中央编办、市编办的联网工作；负责全区机构编制网络建设、维护、管理及安全保密工作；负责机构编制统计报表工作；其他机构编制信息管理工作。</w:t>
      </w:r>
    </w:p>
    <w:p w14:paraId="2EE9080B">
      <w:pPr>
        <w:tabs>
          <w:tab w:val="center" w:pos="6979"/>
        </w:tabs>
        <w:spacing w:line="580" w:lineRule="exact"/>
        <w:ind w:firstLine="560" w:firstLineChars="200"/>
        <w:rPr>
          <w:rFonts w:hint="eastAsia" w:ascii="仿宋_GB2312" w:eastAsia="仿宋_GB2312"/>
          <w:kern w:val="0"/>
          <w:sz w:val="28"/>
          <w:szCs w:val="28"/>
          <w:highlight w:val="none"/>
        </w:rPr>
      </w:pPr>
      <w:r>
        <w:rPr>
          <w:rFonts w:hint="eastAsia" w:ascii="仿宋_GB2312" w:eastAsia="仿宋_GB2312"/>
          <w:kern w:val="0"/>
          <w:sz w:val="28"/>
          <w:szCs w:val="28"/>
          <w:highlight w:val="none"/>
        </w:rPr>
        <w:t>14.承办区委、区政府和区编委交办的其他事项。</w:t>
      </w:r>
    </w:p>
    <w:p w14:paraId="70776D3F">
      <w:pPr>
        <w:pStyle w:val="4"/>
        <w:ind w:firstLine="560" w:firstLineChars="200"/>
        <w:rPr>
          <w:rFonts w:hint="eastAsia" w:ascii="仿宋_GB2312" w:hAnsi="Times New Roman" w:eastAsia="仿宋_GB2312" w:cs="Times New Roman"/>
          <w:kern w:val="0"/>
          <w:sz w:val="28"/>
          <w:szCs w:val="28"/>
          <w:highlight w:val="none"/>
          <w:lang w:val="en-US" w:eastAsia="zh-CN" w:bidi="ar-SA"/>
        </w:rPr>
      </w:pPr>
      <w:r>
        <w:rPr>
          <w:rFonts w:hint="eastAsia" w:ascii="仿宋_GB2312" w:hAnsi="Times New Roman" w:eastAsia="仿宋_GB2312" w:cs="Times New Roman"/>
          <w:kern w:val="0"/>
          <w:sz w:val="28"/>
          <w:szCs w:val="28"/>
          <w:highlight w:val="none"/>
          <w:lang w:val="en-US" w:eastAsia="zh-CN" w:bidi="ar-SA"/>
        </w:rPr>
        <w:t xml:space="preserve">（二）机构设置  </w:t>
      </w:r>
    </w:p>
    <w:p w14:paraId="73CCA2E2">
      <w:pPr>
        <w:spacing w:line="620" w:lineRule="exact"/>
        <w:ind w:firstLine="560" w:firstLineChars="200"/>
        <w:rPr>
          <w:rFonts w:hint="default" w:ascii="仿宋_GB2312" w:eastAsia="仿宋_GB2312"/>
          <w:kern w:val="0"/>
          <w:sz w:val="28"/>
          <w:szCs w:val="28"/>
          <w:highlight w:val="none"/>
          <w:lang w:val="en-US" w:eastAsia="zh-CN"/>
        </w:rPr>
      </w:pPr>
      <w:r>
        <w:rPr>
          <w:rFonts w:hint="eastAsia" w:ascii="仿宋_GB2312" w:eastAsia="仿宋_GB2312"/>
          <w:kern w:val="0"/>
          <w:sz w:val="28"/>
          <w:szCs w:val="28"/>
          <w:highlight w:val="none"/>
        </w:rPr>
        <w:t>大兴区</w:t>
      </w:r>
      <w:r>
        <w:rPr>
          <w:rFonts w:hint="eastAsia" w:ascii="仿宋_GB2312" w:eastAsia="仿宋_GB2312"/>
          <w:kern w:val="0"/>
          <w:sz w:val="28"/>
          <w:szCs w:val="28"/>
          <w:highlight w:val="none"/>
          <w:lang w:eastAsia="zh-CN"/>
        </w:rPr>
        <w:t>委</w:t>
      </w:r>
      <w:r>
        <w:rPr>
          <w:rFonts w:hint="eastAsia" w:ascii="仿宋_GB2312" w:eastAsia="仿宋_GB2312"/>
          <w:kern w:val="0"/>
          <w:sz w:val="28"/>
          <w:szCs w:val="28"/>
          <w:highlight w:val="none"/>
        </w:rPr>
        <w:t>机构编制委员会办公室</w:t>
      </w:r>
      <w:r>
        <w:rPr>
          <w:rFonts w:hint="eastAsia" w:ascii="仿宋_GB2312" w:eastAsia="仿宋_GB2312"/>
          <w:kern w:val="0"/>
          <w:sz w:val="28"/>
          <w:szCs w:val="28"/>
          <w:highlight w:val="none"/>
          <w:lang w:eastAsia="zh-CN"/>
        </w:rPr>
        <w:t>内</w:t>
      </w:r>
      <w:r>
        <w:rPr>
          <w:rFonts w:hint="eastAsia" w:ascii="仿宋_GB2312" w:eastAsia="仿宋_GB2312"/>
          <w:kern w:val="0"/>
          <w:sz w:val="28"/>
          <w:szCs w:val="28"/>
          <w:highlight w:val="none"/>
        </w:rPr>
        <w:t>设综合科、机构编制管理科、机构编制监督检查科、职能管理科。下设</w:t>
      </w:r>
      <w:r>
        <w:rPr>
          <w:rFonts w:hint="eastAsia" w:ascii="仿宋_GB2312" w:eastAsia="仿宋_GB2312"/>
          <w:kern w:val="0"/>
          <w:sz w:val="28"/>
          <w:szCs w:val="28"/>
          <w:highlight w:val="none"/>
          <w:lang w:eastAsia="zh-CN"/>
        </w:rPr>
        <w:t>两个事业单位，</w:t>
      </w:r>
      <w:r>
        <w:rPr>
          <w:rFonts w:hint="eastAsia" w:ascii="仿宋_GB2312" w:eastAsia="仿宋_GB2312"/>
          <w:kern w:val="0"/>
          <w:sz w:val="28"/>
          <w:szCs w:val="28"/>
          <w:highlight w:val="none"/>
        </w:rPr>
        <w:t>大兴区事业单位登记</w:t>
      </w:r>
      <w:r>
        <w:rPr>
          <w:rFonts w:hint="eastAsia" w:ascii="仿宋_GB2312" w:eastAsia="仿宋_GB2312"/>
          <w:kern w:val="0"/>
          <w:sz w:val="28"/>
          <w:szCs w:val="28"/>
          <w:highlight w:val="none"/>
          <w:lang w:eastAsia="zh-CN"/>
        </w:rPr>
        <w:t>事务</w:t>
      </w:r>
      <w:r>
        <w:rPr>
          <w:rFonts w:hint="eastAsia" w:ascii="仿宋_GB2312" w:eastAsia="仿宋_GB2312"/>
          <w:kern w:val="0"/>
          <w:sz w:val="28"/>
          <w:szCs w:val="28"/>
          <w:highlight w:val="none"/>
        </w:rPr>
        <w:t>中心</w:t>
      </w:r>
      <w:r>
        <w:rPr>
          <w:rFonts w:hint="eastAsia" w:ascii="仿宋_GB2312" w:eastAsia="仿宋_GB2312"/>
          <w:kern w:val="0"/>
          <w:sz w:val="28"/>
          <w:szCs w:val="28"/>
          <w:highlight w:val="none"/>
          <w:lang w:eastAsia="zh-CN"/>
        </w:rPr>
        <w:t>和</w:t>
      </w:r>
      <w:r>
        <w:rPr>
          <w:rFonts w:hint="eastAsia" w:ascii="仿宋_GB2312" w:eastAsia="仿宋_GB2312"/>
          <w:kern w:val="0"/>
          <w:sz w:val="28"/>
          <w:szCs w:val="28"/>
          <w:highlight w:val="none"/>
        </w:rPr>
        <w:t>大兴区</w:t>
      </w:r>
      <w:r>
        <w:rPr>
          <w:rFonts w:hint="eastAsia" w:ascii="仿宋_GB2312" w:eastAsia="仿宋_GB2312"/>
          <w:kern w:val="0"/>
          <w:sz w:val="28"/>
          <w:szCs w:val="28"/>
          <w:highlight w:val="none"/>
          <w:lang w:eastAsia="zh-CN"/>
        </w:rPr>
        <w:t>委</w:t>
      </w:r>
      <w:r>
        <w:rPr>
          <w:rFonts w:hint="eastAsia" w:ascii="仿宋_GB2312" w:eastAsia="仿宋_GB2312"/>
          <w:kern w:val="0"/>
          <w:sz w:val="28"/>
          <w:szCs w:val="28"/>
          <w:highlight w:val="none"/>
        </w:rPr>
        <w:t>编办电子政务中心，</w:t>
      </w:r>
      <w:r>
        <w:rPr>
          <w:rFonts w:hint="eastAsia" w:ascii="仿宋_GB2312" w:eastAsia="仿宋_GB2312"/>
          <w:kern w:val="0"/>
          <w:sz w:val="28"/>
          <w:szCs w:val="28"/>
          <w:highlight w:val="none"/>
          <w:lang w:eastAsia="zh-CN"/>
        </w:rPr>
        <w:t>均为不独立核算单位。</w:t>
      </w:r>
    </w:p>
    <w:p w14:paraId="68167D27">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6360BF0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w:t>
      </w:r>
      <w:r>
        <w:rPr>
          <w:rFonts w:hint="eastAsia" w:ascii="仿宋_GB2312" w:eastAsia="仿宋_GB2312"/>
          <w:sz w:val="28"/>
          <w:szCs w:val="28"/>
          <w:highlight w:val="none"/>
        </w:rPr>
        <w:t>年度</w:t>
      </w:r>
      <w:r>
        <w:rPr>
          <w:rFonts w:hint="eastAsia" w:ascii="仿宋_GB2312" w:eastAsia="仿宋_GB2312"/>
          <w:sz w:val="28"/>
          <w:szCs w:val="28"/>
          <w:highlight w:val="none"/>
          <w:lang w:val="en-US" w:eastAsia="zh-CN"/>
        </w:rPr>
        <w:t>收、支</w:t>
      </w:r>
      <w:r>
        <w:rPr>
          <w:rFonts w:hint="eastAsia" w:ascii="仿宋_GB2312" w:eastAsia="仿宋_GB2312"/>
          <w:sz w:val="28"/>
          <w:szCs w:val="28"/>
          <w:highlight w:val="none"/>
        </w:rPr>
        <w:t>总计</w:t>
      </w:r>
      <w:r>
        <w:rPr>
          <w:rFonts w:hint="eastAsia" w:ascii="仿宋_GB2312" w:eastAsia="仿宋_GB2312"/>
          <w:sz w:val="28"/>
          <w:szCs w:val="28"/>
          <w:highlight w:val="none"/>
          <w:lang w:val="en-US" w:eastAsia="zh-CN"/>
        </w:rPr>
        <w:t>772.4</w:t>
      </w:r>
      <w:r>
        <w:rPr>
          <w:rFonts w:hint="eastAsia" w:ascii="仿宋_GB2312" w:eastAsia="仿宋_GB2312"/>
          <w:sz w:val="28"/>
          <w:szCs w:val="28"/>
          <w:lang w:val="en-US" w:eastAsia="zh-CN"/>
        </w:rPr>
        <w:t>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88.45</w:t>
      </w:r>
      <w:r>
        <w:rPr>
          <w:rFonts w:hint="eastAsia" w:ascii="仿宋_GB2312" w:eastAsia="仿宋_GB2312"/>
          <w:sz w:val="28"/>
          <w:szCs w:val="28"/>
        </w:rPr>
        <w:t>万元，增长</w:t>
      </w:r>
      <w:r>
        <w:rPr>
          <w:rFonts w:hint="eastAsia" w:ascii="仿宋_GB2312" w:eastAsia="仿宋_GB2312"/>
          <w:sz w:val="28"/>
          <w:szCs w:val="28"/>
          <w:lang w:val="en-US" w:eastAsia="zh-CN"/>
        </w:rPr>
        <w:t>12.93</w:t>
      </w:r>
      <w:r>
        <w:rPr>
          <w:rFonts w:hint="eastAsia" w:ascii="仿宋_GB2312" w:eastAsia="仿宋_GB2312"/>
          <w:sz w:val="28"/>
          <w:szCs w:val="28"/>
        </w:rPr>
        <w:t>%。</w:t>
      </w:r>
    </w:p>
    <w:p w14:paraId="71F4BEE8">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434E6A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2024年度本年收入合计</w:t>
      </w:r>
      <w:r>
        <w:rPr>
          <w:rFonts w:hint="eastAsia" w:ascii="仿宋_GB2312" w:eastAsia="仿宋_GB2312"/>
          <w:sz w:val="28"/>
          <w:szCs w:val="28"/>
          <w:lang w:val="en-US" w:eastAsia="zh-CN"/>
        </w:rPr>
        <w:t>772.47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88.45</w:t>
      </w:r>
      <w:r>
        <w:rPr>
          <w:rFonts w:hint="eastAsia" w:ascii="仿宋_GB2312" w:eastAsia="仿宋_GB2312"/>
          <w:sz w:val="28"/>
          <w:szCs w:val="28"/>
        </w:rPr>
        <w:t>万元，增长</w:t>
      </w:r>
      <w:r>
        <w:rPr>
          <w:rFonts w:hint="eastAsia" w:ascii="仿宋_GB2312" w:eastAsia="仿宋_GB2312"/>
          <w:sz w:val="28"/>
          <w:szCs w:val="28"/>
          <w:lang w:val="en-US" w:eastAsia="zh-CN"/>
        </w:rPr>
        <w:t>12.9</w:t>
      </w:r>
      <w:bookmarkStart w:id="0" w:name="_GoBack"/>
      <w:r>
        <w:rPr>
          <w:rFonts w:hint="eastAsia" w:ascii="仿宋_GB2312" w:eastAsia="仿宋_GB2312"/>
          <w:sz w:val="28"/>
          <w:szCs w:val="28"/>
          <w:lang w:val="en-US" w:eastAsia="zh-CN"/>
        </w:rPr>
        <w:t>3</w:t>
      </w:r>
      <w:bookmarkEnd w:id="0"/>
      <w:r>
        <w:rPr>
          <w:rFonts w:hint="eastAsia" w:ascii="仿宋_GB2312" w:eastAsia="仿宋_GB2312"/>
          <w:sz w:val="28"/>
          <w:szCs w:val="28"/>
        </w:rPr>
        <w:t>%。其中：</w:t>
      </w:r>
    </w:p>
    <w:p w14:paraId="74F0AB5A">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1.财政拨款收入</w:t>
      </w:r>
      <w:r>
        <w:rPr>
          <w:rFonts w:hint="eastAsia" w:ascii="仿宋_GB2312" w:eastAsia="仿宋_GB2312"/>
          <w:sz w:val="28"/>
          <w:szCs w:val="28"/>
          <w:lang w:val="en-US" w:eastAsia="zh-CN"/>
        </w:rPr>
        <w:t>772.47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w:t>
      </w:r>
      <w:r>
        <w:rPr>
          <w:rFonts w:hint="eastAsia" w:ascii="仿宋_GB2312" w:eastAsia="仿宋_GB2312"/>
          <w:sz w:val="28"/>
          <w:szCs w:val="28"/>
          <w:lang w:val="en-US" w:eastAsia="zh-CN"/>
        </w:rPr>
        <w:t>772.47</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w:t>
      </w:r>
      <w:r>
        <w:rPr>
          <w:rFonts w:hint="eastAsia" w:ascii="仿宋_GB2312" w:eastAsia="仿宋_GB2312"/>
          <w:sz w:val="28"/>
          <w:szCs w:val="28"/>
          <w:highlight w:val="none"/>
        </w:rPr>
        <w:t>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2E1714D0">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2.上级补助收入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7FD2D9B8">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3.事业收入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69022CCC">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4.经营收入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2D2D3F2B">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5.附属单位上缴收入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72FBC4FF">
      <w:p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6.其他收入</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090A0D36">
      <w:pPr>
        <w:tabs>
          <w:tab w:val="center" w:pos="6979"/>
        </w:tabs>
        <w:spacing w:line="580" w:lineRule="exact"/>
        <w:ind w:firstLine="640" w:firstLineChars="200"/>
        <w:jc w:val="center"/>
        <w:rPr>
          <w:rFonts w:hint="eastAsia" w:ascii="仿宋_GB2312" w:eastAsia="仿宋_GB2312"/>
          <w:color w:val="000000"/>
          <w:sz w:val="32"/>
          <w:szCs w:val="32"/>
          <w:highlight w:val="none"/>
          <w:lang w:val="en-US" w:eastAsia="zh-CN"/>
        </w:rPr>
      </w:pPr>
    </w:p>
    <w:p w14:paraId="4C067814">
      <w:pPr>
        <w:tabs>
          <w:tab w:val="center" w:pos="6979"/>
        </w:tabs>
        <w:spacing w:line="580" w:lineRule="exact"/>
        <w:ind w:firstLine="640" w:firstLineChars="200"/>
        <w:jc w:val="center"/>
        <w:rPr>
          <w:rFonts w:hint="eastAsia" w:ascii="仿宋_GB2312" w:eastAsia="仿宋_GB2312"/>
          <w:color w:val="000000"/>
          <w:sz w:val="32"/>
          <w:szCs w:val="32"/>
          <w:highlight w:val="none"/>
          <w:lang w:val="en-US" w:eastAsia="zh-CN"/>
        </w:rPr>
      </w:pPr>
    </w:p>
    <w:p w14:paraId="1CF5B1D9">
      <w:pPr>
        <w:tabs>
          <w:tab w:val="center" w:pos="6979"/>
        </w:tabs>
        <w:spacing w:line="580" w:lineRule="exact"/>
        <w:ind w:firstLine="640" w:firstLineChars="200"/>
        <w:jc w:val="center"/>
        <w:rPr>
          <w:rFonts w:hint="eastAsia" w:ascii="仿宋_GB2312" w:eastAsia="仿宋_GB2312"/>
          <w:color w:val="000000"/>
          <w:sz w:val="32"/>
          <w:szCs w:val="32"/>
          <w:highlight w:val="none"/>
          <w:lang w:val="en-US" w:eastAsia="zh-CN"/>
        </w:rPr>
      </w:pPr>
    </w:p>
    <w:p w14:paraId="50040A8B">
      <w:pPr>
        <w:tabs>
          <w:tab w:val="center" w:pos="6979"/>
        </w:tabs>
        <w:spacing w:line="580" w:lineRule="exact"/>
        <w:ind w:firstLine="640" w:firstLineChars="200"/>
        <w:jc w:val="center"/>
        <w:rPr>
          <w:rFonts w:hint="eastAsia" w:ascii="仿宋_GB2312" w:eastAsia="仿宋_GB2312"/>
          <w:color w:val="000000"/>
          <w:sz w:val="32"/>
          <w:szCs w:val="32"/>
          <w:highlight w:val="none"/>
          <w:lang w:val="en-US" w:eastAsia="zh-CN"/>
        </w:rPr>
      </w:pPr>
    </w:p>
    <w:p w14:paraId="755305B8">
      <w:pPr>
        <w:tabs>
          <w:tab w:val="center" w:pos="6979"/>
        </w:tabs>
        <w:spacing w:line="580" w:lineRule="exact"/>
        <w:ind w:firstLine="640" w:firstLineChars="200"/>
        <w:jc w:val="center"/>
        <w:rPr>
          <w:rFonts w:hint="eastAsia" w:ascii="仿宋_GB2312" w:eastAsia="仿宋_GB2312"/>
          <w:color w:val="000000"/>
          <w:sz w:val="32"/>
          <w:szCs w:val="32"/>
          <w:highlight w:val="none"/>
          <w:lang w:val="en-US" w:eastAsia="zh-CN"/>
        </w:rPr>
      </w:pPr>
    </w:p>
    <w:p w14:paraId="6987349A">
      <w:pPr>
        <w:tabs>
          <w:tab w:val="center" w:pos="6979"/>
        </w:tabs>
        <w:spacing w:line="580" w:lineRule="exact"/>
        <w:ind w:firstLine="640" w:firstLineChars="200"/>
        <w:jc w:val="center"/>
      </w:pPr>
      <w:r>
        <w:rPr>
          <w:rFonts w:hint="eastAsia" w:ascii="仿宋_GB2312" w:eastAsia="仿宋_GB2312"/>
          <w:color w:val="000000"/>
          <w:sz w:val="32"/>
          <w:szCs w:val="32"/>
          <w:highlight w:val="none"/>
          <w:lang w:val="en-US" w:eastAsia="zh-CN"/>
        </w:rPr>
        <w:t>图1：收入决算</w:t>
      </w:r>
    </w:p>
    <w:p w14:paraId="24265910">
      <w:pPr>
        <w:pStyle w:val="3"/>
        <w:ind w:firstLine="420"/>
        <w:jc w:val="center"/>
      </w:pPr>
      <w:r>
        <w:drawing>
          <wp:inline distT="0" distB="0" distL="0" distR="0">
            <wp:extent cx="4036695" cy="2328545"/>
            <wp:effectExtent l="4445" t="4445" r="16510" b="1016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0C92B9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A63FB72">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2024年度本年支出合计</w:t>
      </w:r>
      <w:r>
        <w:rPr>
          <w:rFonts w:hint="eastAsia" w:ascii="仿宋_GB2312" w:eastAsia="仿宋_GB2312"/>
          <w:sz w:val="28"/>
          <w:szCs w:val="28"/>
          <w:highlight w:val="none"/>
          <w:lang w:val="en-US" w:eastAsia="zh-CN"/>
        </w:rPr>
        <w:t>772.47</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88.45</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12.93</w:t>
      </w:r>
      <w:r>
        <w:rPr>
          <w:rFonts w:hint="eastAsia" w:ascii="仿宋_GB2312" w:eastAsia="仿宋_GB2312"/>
          <w:sz w:val="28"/>
          <w:szCs w:val="28"/>
          <w:highlight w:val="none"/>
        </w:rPr>
        <w:t>%。其中：</w:t>
      </w:r>
    </w:p>
    <w:p w14:paraId="628B23B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1.基本支出</w:t>
      </w:r>
      <w:r>
        <w:rPr>
          <w:rFonts w:hint="eastAsia" w:ascii="仿宋_GB2312" w:eastAsia="仿宋_GB2312"/>
          <w:sz w:val="28"/>
          <w:szCs w:val="28"/>
          <w:lang w:val="en-US" w:eastAsia="zh-CN"/>
        </w:rPr>
        <w:t>768.78</w:t>
      </w:r>
      <w:r>
        <w:rPr>
          <w:rFonts w:hint="eastAsia" w:ascii="仿宋_GB2312" w:eastAsia="仿宋_GB2312"/>
          <w:sz w:val="28"/>
          <w:szCs w:val="28"/>
        </w:rPr>
        <w:t>万元，占支出合计的</w:t>
      </w:r>
      <w:r>
        <w:rPr>
          <w:rFonts w:hint="eastAsia" w:ascii="仿宋_GB2312" w:eastAsia="仿宋_GB2312"/>
          <w:sz w:val="28"/>
          <w:szCs w:val="28"/>
          <w:lang w:val="en-US" w:eastAsia="zh-CN"/>
        </w:rPr>
        <w:t>99.52</w:t>
      </w:r>
      <w:r>
        <w:rPr>
          <w:rFonts w:hint="eastAsia" w:ascii="仿宋_GB2312" w:eastAsia="仿宋_GB2312"/>
          <w:sz w:val="28"/>
          <w:szCs w:val="28"/>
        </w:rPr>
        <w:t>%。</w:t>
      </w:r>
    </w:p>
    <w:p w14:paraId="3BB42CF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2.项目支出</w:t>
      </w:r>
      <w:r>
        <w:rPr>
          <w:rFonts w:hint="eastAsia" w:ascii="仿宋_GB2312" w:eastAsia="仿宋_GB2312"/>
          <w:sz w:val="28"/>
          <w:szCs w:val="28"/>
          <w:lang w:val="en-US" w:eastAsia="zh-CN"/>
        </w:rPr>
        <w:t>3.69</w:t>
      </w:r>
      <w:r>
        <w:rPr>
          <w:rFonts w:hint="eastAsia" w:ascii="仿宋_GB2312" w:eastAsia="仿宋_GB2312"/>
          <w:sz w:val="28"/>
          <w:szCs w:val="28"/>
        </w:rPr>
        <w:t>万元，占支出合计的</w:t>
      </w:r>
      <w:r>
        <w:rPr>
          <w:rFonts w:hint="eastAsia" w:ascii="仿宋_GB2312" w:eastAsia="仿宋_GB2312"/>
          <w:sz w:val="28"/>
          <w:szCs w:val="28"/>
          <w:lang w:val="en-US" w:eastAsia="zh-CN"/>
        </w:rPr>
        <w:t>0.48</w:t>
      </w:r>
      <w:r>
        <w:rPr>
          <w:rFonts w:hint="eastAsia" w:ascii="仿宋_GB2312" w:eastAsia="仿宋_GB2312"/>
          <w:sz w:val="28"/>
          <w:szCs w:val="28"/>
        </w:rPr>
        <w:t>%。</w:t>
      </w:r>
    </w:p>
    <w:p w14:paraId="170F03B9">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3.上缴上级支出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403569C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4.经营支出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7244B7C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5.对附属单位补助支出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w:t>
      </w:r>
    </w:p>
    <w:p w14:paraId="0EBF8E59">
      <w:pPr>
        <w:tabs>
          <w:tab w:val="center" w:pos="6979"/>
        </w:tabs>
        <w:spacing w:line="580" w:lineRule="exact"/>
        <w:ind w:firstLine="570"/>
        <w:jc w:val="center"/>
        <w:rPr>
          <w:rFonts w:hint="eastAsia" w:ascii="仿宋_GB2312" w:eastAsia="仿宋_GB2312"/>
          <w:color w:val="000000"/>
          <w:sz w:val="32"/>
        </w:rPr>
      </w:pPr>
    </w:p>
    <w:p w14:paraId="5FB3A0E7">
      <w:pPr>
        <w:tabs>
          <w:tab w:val="center" w:pos="6979"/>
        </w:tabs>
        <w:spacing w:line="580" w:lineRule="exact"/>
        <w:ind w:firstLine="570"/>
        <w:jc w:val="center"/>
        <w:rPr>
          <w:rFonts w:hint="eastAsia" w:ascii="仿宋_GB2312" w:eastAsia="仿宋_GB2312"/>
          <w:color w:val="000000"/>
          <w:sz w:val="32"/>
        </w:rPr>
      </w:pPr>
    </w:p>
    <w:p w14:paraId="0FF19A39">
      <w:pPr>
        <w:tabs>
          <w:tab w:val="center" w:pos="6979"/>
        </w:tabs>
        <w:spacing w:line="580" w:lineRule="exact"/>
        <w:ind w:firstLine="570"/>
        <w:jc w:val="center"/>
        <w:rPr>
          <w:rFonts w:ascii="仿宋_GB2312" w:eastAsia="仿宋_GB2312"/>
          <w:color w:val="000000"/>
          <w:sz w:val="32"/>
        </w:rPr>
      </w:pPr>
      <w:r>
        <w:rPr>
          <w:rFonts w:hint="eastAsia" w:ascii="仿宋_GB2312" w:eastAsia="仿宋_GB2312"/>
          <w:color w:val="000000"/>
          <w:sz w:val="32"/>
        </w:rPr>
        <w:t>图2：基本支出和项目支出情况</w:t>
      </w:r>
    </w:p>
    <w:p w14:paraId="0D24D52B">
      <w:pPr>
        <w:jc w:val="center"/>
        <w:rPr>
          <w:rFonts w:ascii="黑体" w:eastAsia="黑体"/>
          <w:b/>
          <w:sz w:val="28"/>
          <w:szCs w:val="28"/>
        </w:rPr>
      </w:pPr>
      <w:r>
        <w:drawing>
          <wp:inline distT="0" distB="0" distL="114300" distR="114300">
            <wp:extent cx="4572000" cy="2476500"/>
            <wp:effectExtent l="4445" t="4445" r="14605" b="14605"/>
            <wp:docPr id="1028"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25CA73F">
      <w:pPr>
        <w:tabs>
          <w:tab w:val="center" w:pos="6979"/>
        </w:tabs>
        <w:spacing w:line="580" w:lineRule="exact"/>
        <w:ind w:firstLine="548" w:firstLineChars="196"/>
        <w:rPr>
          <w:rFonts w:hint="eastAsia" w:ascii="黑体" w:eastAsia="黑体"/>
          <w:b/>
          <w:sz w:val="28"/>
          <w:szCs w:val="28"/>
        </w:rPr>
      </w:pPr>
    </w:p>
    <w:p w14:paraId="3C58FEB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18552C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2024年度财政拨</w:t>
      </w:r>
      <w:r>
        <w:rPr>
          <w:rFonts w:hint="eastAsia" w:ascii="仿宋_GB2312" w:eastAsia="仿宋_GB2312"/>
          <w:sz w:val="28"/>
          <w:szCs w:val="28"/>
          <w:highlight w:val="none"/>
        </w:rPr>
        <w:t>款</w:t>
      </w:r>
      <w:r>
        <w:rPr>
          <w:rFonts w:hint="eastAsia" w:ascii="仿宋_GB2312" w:eastAsia="仿宋_GB2312"/>
          <w:sz w:val="28"/>
          <w:szCs w:val="28"/>
          <w:highlight w:val="none"/>
          <w:lang w:val="en-US" w:eastAsia="zh-CN"/>
        </w:rPr>
        <w:t>收、支</w:t>
      </w:r>
      <w:r>
        <w:rPr>
          <w:rFonts w:hint="eastAsia" w:ascii="仿宋_GB2312" w:eastAsia="仿宋_GB2312"/>
          <w:sz w:val="28"/>
          <w:szCs w:val="28"/>
          <w:highlight w:val="none"/>
        </w:rPr>
        <w:t>总计</w:t>
      </w:r>
      <w:r>
        <w:rPr>
          <w:rFonts w:hint="eastAsia" w:ascii="仿宋_GB2312" w:eastAsia="仿宋_GB2312"/>
          <w:sz w:val="28"/>
          <w:szCs w:val="28"/>
          <w:highlight w:val="none"/>
          <w:lang w:val="en-US" w:eastAsia="zh-CN"/>
        </w:rPr>
        <w:t>772.47</w:t>
      </w:r>
      <w:r>
        <w:rPr>
          <w:rFonts w:hint="eastAsia" w:ascii="仿宋_GB2312" w:eastAsia="仿宋_GB2312"/>
          <w:sz w:val="28"/>
          <w:szCs w:val="28"/>
          <w:highlight w:val="none"/>
        </w:rPr>
        <w:t>万元，</w:t>
      </w:r>
      <w:r>
        <w:rPr>
          <w:rFonts w:ascii="仿宋_GB2312" w:eastAsia="仿宋_GB2312"/>
          <w:sz w:val="28"/>
          <w:szCs w:val="28"/>
          <w:highlight w:val="none"/>
        </w:rPr>
        <w:t>比上年增加</w:t>
      </w:r>
      <w:r>
        <w:rPr>
          <w:rFonts w:hint="eastAsia" w:ascii="仿宋_GB2312" w:eastAsia="仿宋_GB2312"/>
          <w:sz w:val="28"/>
          <w:szCs w:val="28"/>
          <w:highlight w:val="none"/>
          <w:lang w:val="en-US" w:eastAsia="zh-CN"/>
        </w:rPr>
        <w:t>88.45</w:t>
      </w:r>
      <w:r>
        <w:rPr>
          <w:rFonts w:hint="eastAsia" w:ascii="仿宋_GB2312" w:eastAsia="仿宋_GB2312"/>
          <w:sz w:val="28"/>
          <w:szCs w:val="28"/>
          <w:highlight w:val="none"/>
        </w:rPr>
        <w:t>万元，增长</w:t>
      </w:r>
      <w:r>
        <w:rPr>
          <w:rFonts w:hint="eastAsia" w:ascii="仿宋_GB2312" w:eastAsia="仿宋_GB2312"/>
          <w:sz w:val="28"/>
          <w:szCs w:val="28"/>
          <w:highlight w:val="none"/>
          <w:lang w:val="en-US" w:eastAsia="zh-CN"/>
        </w:rPr>
        <w:t>12.93</w:t>
      </w:r>
      <w:r>
        <w:rPr>
          <w:rFonts w:hint="eastAsia" w:ascii="仿宋_GB2312" w:eastAsia="仿宋_GB2312"/>
          <w:sz w:val="28"/>
          <w:szCs w:val="28"/>
          <w:highlight w:val="none"/>
        </w:rPr>
        <w:t>%。</w:t>
      </w:r>
    </w:p>
    <w:p w14:paraId="18A7405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6643CEC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ED51486">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772.47</w:t>
      </w:r>
      <w:r>
        <w:rPr>
          <w:rFonts w:hint="eastAsia" w:ascii="仿宋_GB2312" w:eastAsia="仿宋_GB2312"/>
          <w:sz w:val="28"/>
          <w:szCs w:val="28"/>
        </w:rPr>
        <w:t>万元，主要用于以下方面（按大类）</w:t>
      </w:r>
      <w:r>
        <w:rPr>
          <w:rFonts w:hint="eastAsia" w:ascii="仿宋_GB2312" w:eastAsia="仿宋_GB2312"/>
          <w:sz w:val="28"/>
          <w:szCs w:val="28"/>
          <w:highlight w:val="none"/>
        </w:rPr>
        <w:t>：一般公共服务支出</w:t>
      </w:r>
      <w:r>
        <w:rPr>
          <w:rFonts w:hint="eastAsia" w:ascii="仿宋_GB2312" w:eastAsia="仿宋_GB2312"/>
          <w:sz w:val="28"/>
          <w:szCs w:val="28"/>
          <w:highlight w:val="none"/>
          <w:lang w:val="en-US" w:eastAsia="zh-CN"/>
        </w:rPr>
        <w:t>569.07</w:t>
      </w:r>
      <w:r>
        <w:rPr>
          <w:rFonts w:hint="eastAsia" w:ascii="仿宋_GB2312" w:eastAsia="仿宋_GB2312"/>
          <w:sz w:val="28"/>
          <w:szCs w:val="28"/>
          <w:highlight w:val="none"/>
        </w:rPr>
        <w:t>万元，占本年财政拨款支出</w:t>
      </w:r>
      <w:r>
        <w:rPr>
          <w:rFonts w:hint="eastAsia" w:ascii="仿宋_GB2312" w:eastAsia="仿宋_GB2312"/>
          <w:sz w:val="28"/>
          <w:szCs w:val="28"/>
          <w:highlight w:val="none"/>
          <w:lang w:val="en-US" w:eastAsia="zh-CN"/>
        </w:rPr>
        <w:t>73.67</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lang w:val="en-US" w:eastAsia="zh-CN"/>
        </w:rPr>
        <w:t>84.58万元，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10.95</w:t>
      </w:r>
      <w:r>
        <w:rPr>
          <w:rFonts w:hint="eastAsia" w:ascii="仿宋_GB2312" w:eastAsia="仿宋_GB2312"/>
          <w:sz w:val="28"/>
          <w:szCs w:val="28"/>
          <w:highlight w:val="none"/>
        </w:rPr>
        <w:t>%；卫生健康支</w:t>
      </w:r>
      <w:r>
        <w:rPr>
          <w:rFonts w:hint="eastAsia" w:ascii="仿宋_GB2312" w:eastAsia="仿宋_GB2312"/>
          <w:sz w:val="28"/>
          <w:szCs w:val="28"/>
          <w:highlight w:val="none"/>
          <w:lang w:eastAsia="zh-CN"/>
        </w:rPr>
        <w:t>出</w:t>
      </w:r>
      <w:r>
        <w:rPr>
          <w:rFonts w:hint="eastAsia" w:ascii="仿宋_GB2312" w:eastAsia="仿宋_GB2312"/>
          <w:sz w:val="28"/>
          <w:szCs w:val="28"/>
          <w:highlight w:val="none"/>
          <w:lang w:val="en-US" w:eastAsia="zh-CN"/>
        </w:rPr>
        <w:t>54.37万元，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7.04</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住房保障支出</w:t>
      </w:r>
      <w:r>
        <w:rPr>
          <w:rFonts w:hint="eastAsia" w:ascii="仿宋_GB2312" w:eastAsia="仿宋_GB2312"/>
          <w:sz w:val="28"/>
          <w:szCs w:val="28"/>
          <w:highlight w:val="none"/>
          <w:lang w:val="en-US" w:eastAsia="zh-CN"/>
        </w:rPr>
        <w:t>64.45万元，</w:t>
      </w:r>
      <w:r>
        <w:rPr>
          <w:rFonts w:hint="eastAsia" w:ascii="仿宋_GB2312" w:eastAsia="仿宋_GB2312"/>
          <w:sz w:val="28"/>
          <w:szCs w:val="28"/>
          <w:highlight w:val="none"/>
        </w:rPr>
        <w:t>占本年财政拨款支出</w:t>
      </w:r>
      <w:r>
        <w:rPr>
          <w:rFonts w:hint="eastAsia" w:ascii="仿宋_GB2312" w:eastAsia="仿宋_GB2312"/>
          <w:sz w:val="28"/>
          <w:szCs w:val="28"/>
          <w:highlight w:val="none"/>
          <w:lang w:val="en-US" w:eastAsia="zh-CN"/>
        </w:rPr>
        <w:t>8.34</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p>
    <w:p w14:paraId="74EB090D">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A52048F">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1、“一般公共服务支</w:t>
      </w:r>
      <w:r>
        <w:rPr>
          <w:rFonts w:hint="eastAsia" w:ascii="仿宋_GB2312" w:eastAsia="仿宋_GB2312"/>
          <w:color w:val="auto"/>
          <w:sz w:val="28"/>
          <w:szCs w:val="28"/>
          <w:highlight w:val="none"/>
        </w:rPr>
        <w:t>出”（类）</w:t>
      </w:r>
      <w:r>
        <w:rPr>
          <w:rFonts w:hint="eastAsia" w:ascii="仿宋_GB2312" w:eastAsia="仿宋_GB2312"/>
          <w:color w:val="auto"/>
          <w:sz w:val="28"/>
          <w:szCs w:val="28"/>
          <w:highlight w:val="none"/>
          <w:lang w:val="en-US" w:eastAsia="zh-CN"/>
        </w:rPr>
        <w:t>2024年度年初预算575.78万元，2024年度决算569.07万元，完成年初预算的98.83%。</w:t>
      </w:r>
      <w:r>
        <w:rPr>
          <w:rFonts w:hint="eastAsia" w:ascii="仿宋_GB2312" w:eastAsia="仿宋_GB2312"/>
          <w:color w:val="auto"/>
          <w:sz w:val="28"/>
          <w:szCs w:val="28"/>
          <w:highlight w:val="none"/>
        </w:rPr>
        <w:t>其中：</w:t>
      </w:r>
    </w:p>
    <w:p w14:paraId="0705CF7B">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组织</w:t>
      </w:r>
      <w:r>
        <w:rPr>
          <w:rFonts w:hint="eastAsia" w:ascii="仿宋_GB2312" w:eastAsia="仿宋_GB2312"/>
          <w:sz w:val="28"/>
          <w:szCs w:val="28"/>
          <w:highlight w:val="none"/>
        </w:rPr>
        <w:t>事务”202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569.07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6.71</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1.16</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人员增减变动</w:t>
      </w:r>
      <w:r>
        <w:rPr>
          <w:rFonts w:hint="eastAsia" w:ascii="仿宋_GB2312" w:eastAsia="仿宋_GB2312"/>
          <w:sz w:val="28"/>
          <w:szCs w:val="28"/>
          <w:highlight w:val="none"/>
          <w:lang w:val="en-US" w:eastAsia="zh-CN"/>
        </w:rPr>
        <w:t>同时较少人员经费；项目支出比上年有所下降</w:t>
      </w:r>
      <w:r>
        <w:rPr>
          <w:rFonts w:hint="eastAsia" w:ascii="仿宋_GB2312" w:eastAsia="仿宋_GB2312"/>
          <w:sz w:val="28"/>
          <w:szCs w:val="28"/>
          <w:highlight w:val="none"/>
        </w:rPr>
        <w:t>。</w:t>
      </w:r>
    </w:p>
    <w:p w14:paraId="0DFEDB47">
      <w:pPr>
        <w:numPr>
          <w:ilvl w:val="0"/>
          <w:numId w:val="1"/>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w:t>
      </w:r>
      <w:r>
        <w:rPr>
          <w:rFonts w:hint="eastAsia" w:ascii="仿宋_GB2312" w:eastAsia="仿宋_GB2312"/>
          <w:color w:val="auto"/>
          <w:sz w:val="28"/>
          <w:szCs w:val="28"/>
          <w:highlight w:val="none"/>
          <w:lang w:val="en-US" w:eastAsia="zh-CN"/>
        </w:rPr>
        <w:t>2024年度年初预算85.95万元，2024年度决算84.58万元，完成年初预算的98.4%</w:t>
      </w:r>
      <w:r>
        <w:rPr>
          <w:rFonts w:hint="eastAsia" w:ascii="仿宋_GB2312" w:eastAsia="仿宋_GB2312"/>
          <w:sz w:val="28"/>
          <w:szCs w:val="28"/>
          <w:highlight w:val="none"/>
        </w:rPr>
        <w:t>。其中：</w:t>
      </w:r>
    </w:p>
    <w:p w14:paraId="56100D19">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“行政事业单位养老支出”202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年决算</w:t>
      </w:r>
      <w:r>
        <w:rPr>
          <w:rFonts w:hint="eastAsia" w:ascii="仿宋_GB2312" w:eastAsia="仿宋_GB2312"/>
          <w:sz w:val="28"/>
          <w:szCs w:val="28"/>
          <w:highlight w:val="none"/>
          <w:lang w:val="en-US" w:eastAsia="zh-CN"/>
        </w:rPr>
        <w:t>84.58</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1.37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1.59</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人员增减变动</w:t>
      </w:r>
      <w:r>
        <w:rPr>
          <w:rFonts w:hint="eastAsia" w:ascii="仿宋_GB2312" w:eastAsia="仿宋_GB2312"/>
          <w:sz w:val="28"/>
          <w:szCs w:val="28"/>
          <w:highlight w:val="none"/>
          <w:lang w:val="en-US" w:eastAsia="zh-CN"/>
        </w:rPr>
        <w:t>同时较少人员经费。</w:t>
      </w:r>
    </w:p>
    <w:p w14:paraId="61849CBF">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“卫生健康支</w:t>
      </w:r>
      <w:r>
        <w:rPr>
          <w:rFonts w:hint="eastAsia" w:ascii="仿宋_GB2312" w:eastAsia="仿宋_GB2312"/>
          <w:sz w:val="28"/>
          <w:szCs w:val="28"/>
          <w:highlight w:val="none"/>
          <w:lang w:eastAsia="zh-CN"/>
        </w:rPr>
        <w:t>出</w:t>
      </w:r>
      <w:r>
        <w:rPr>
          <w:rFonts w:hint="eastAsia" w:ascii="仿宋_GB2312" w:eastAsia="仿宋_GB2312"/>
          <w:sz w:val="28"/>
          <w:szCs w:val="28"/>
          <w:highlight w:val="none"/>
        </w:rPr>
        <w:t>”</w:t>
      </w:r>
      <w:r>
        <w:rPr>
          <w:rFonts w:hint="eastAsia" w:ascii="仿宋_GB2312" w:eastAsia="仿宋_GB2312"/>
          <w:color w:val="auto"/>
          <w:sz w:val="28"/>
          <w:szCs w:val="28"/>
          <w:highlight w:val="none"/>
          <w:lang w:val="en-US" w:eastAsia="zh-CN"/>
        </w:rPr>
        <w:t>2024年度年初预算56.85万元，2024年度决算54.37万元，完成年初预算的95.64%</w:t>
      </w:r>
      <w:r>
        <w:rPr>
          <w:rFonts w:hint="eastAsia" w:ascii="仿宋_GB2312" w:eastAsia="仿宋_GB2312"/>
          <w:sz w:val="28"/>
          <w:szCs w:val="28"/>
          <w:highlight w:val="none"/>
        </w:rPr>
        <w:t>。其中：</w:t>
      </w:r>
    </w:p>
    <w:p w14:paraId="21FD3EE0">
      <w:pPr>
        <w:numPr>
          <w:ilvl w:val="0"/>
          <w:numId w:val="0"/>
        </w:numPr>
        <w:spacing w:line="580" w:lineRule="exact"/>
        <w:ind w:firstLine="560" w:firstLineChars="200"/>
        <w:rPr>
          <w:rFonts w:hint="eastAsia" w:ascii="仿宋_GB2312" w:eastAsia="仿宋_GB2312"/>
          <w:sz w:val="28"/>
          <w:szCs w:val="28"/>
          <w:highlight w:val="none"/>
          <w:lang w:val="en-US" w:eastAsia="zh-CN"/>
        </w:rPr>
      </w:pPr>
      <w:r>
        <w:rPr>
          <w:rFonts w:hint="eastAsia" w:ascii="仿宋_GB2312" w:eastAsia="仿宋_GB2312"/>
          <w:sz w:val="28"/>
          <w:szCs w:val="28"/>
          <w:highlight w:val="none"/>
        </w:rPr>
        <w:t>“行政事业单位医疗”202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w:t>
      </w:r>
      <w:r>
        <w:rPr>
          <w:rFonts w:hint="eastAsia" w:ascii="仿宋_GB2312" w:eastAsia="仿宋_GB2312"/>
          <w:sz w:val="28"/>
          <w:szCs w:val="28"/>
          <w:highlight w:val="none"/>
          <w:lang w:val="en-US" w:eastAsia="zh-CN"/>
        </w:rPr>
        <w:t>54.37</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减少</w:t>
      </w:r>
      <w:r>
        <w:rPr>
          <w:rFonts w:hint="eastAsia" w:ascii="仿宋_GB2312" w:eastAsia="仿宋_GB2312"/>
          <w:sz w:val="28"/>
          <w:szCs w:val="28"/>
          <w:highlight w:val="none"/>
          <w:lang w:val="en-US" w:eastAsia="zh-CN"/>
        </w:rPr>
        <w:t>2.48</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下降</w:t>
      </w:r>
      <w:r>
        <w:rPr>
          <w:rFonts w:hint="eastAsia" w:ascii="仿宋_GB2312" w:eastAsia="仿宋_GB2312"/>
          <w:sz w:val="28"/>
          <w:szCs w:val="28"/>
          <w:highlight w:val="none"/>
          <w:lang w:val="en-US" w:eastAsia="zh-CN"/>
        </w:rPr>
        <w:t>4.36</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人员增减变动</w:t>
      </w:r>
      <w:r>
        <w:rPr>
          <w:rFonts w:hint="eastAsia" w:ascii="仿宋_GB2312" w:eastAsia="仿宋_GB2312"/>
          <w:sz w:val="28"/>
          <w:szCs w:val="28"/>
          <w:highlight w:val="none"/>
          <w:lang w:val="en-US" w:eastAsia="zh-CN"/>
        </w:rPr>
        <w:t>同时较少人员经费。</w:t>
      </w:r>
    </w:p>
    <w:p w14:paraId="2E732512">
      <w:pPr>
        <w:numPr>
          <w:ilvl w:val="0"/>
          <w:numId w:val="0"/>
        </w:num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4、“住房保障支出”</w:t>
      </w:r>
      <w:r>
        <w:rPr>
          <w:rFonts w:hint="eastAsia" w:ascii="仿宋_GB2312" w:eastAsia="仿宋_GB2312"/>
          <w:color w:val="auto"/>
          <w:sz w:val="28"/>
          <w:szCs w:val="28"/>
          <w:highlight w:val="none"/>
          <w:lang w:val="en-US" w:eastAsia="zh-CN"/>
        </w:rPr>
        <w:t>2024年度年初预算0万元，2024年度决算</w:t>
      </w:r>
      <w:r>
        <w:rPr>
          <w:rFonts w:hint="eastAsia" w:ascii="仿宋_GB2312" w:eastAsia="仿宋_GB2312"/>
          <w:sz w:val="28"/>
          <w:szCs w:val="28"/>
          <w:highlight w:val="none"/>
          <w:lang w:val="en-US" w:eastAsia="zh-CN"/>
        </w:rPr>
        <w:t>64.45</w:t>
      </w:r>
      <w:r>
        <w:rPr>
          <w:rFonts w:hint="eastAsia" w:ascii="仿宋_GB2312" w:eastAsia="仿宋_GB2312"/>
          <w:color w:val="auto"/>
          <w:sz w:val="28"/>
          <w:szCs w:val="28"/>
          <w:highlight w:val="none"/>
          <w:lang w:val="en-US" w:eastAsia="zh-CN"/>
        </w:rPr>
        <w:t>万元</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w:t>
      </w:r>
    </w:p>
    <w:p w14:paraId="697E445E">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购房补贴</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年决算</w:t>
      </w:r>
      <w:r>
        <w:rPr>
          <w:rFonts w:hint="eastAsia" w:ascii="仿宋_GB2312" w:eastAsia="仿宋_GB2312"/>
          <w:sz w:val="28"/>
          <w:szCs w:val="28"/>
          <w:highlight w:val="none"/>
          <w:lang w:val="en-US" w:eastAsia="zh-CN"/>
        </w:rPr>
        <w:t>64.45</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64.45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增长</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落实本区住房补贴政策</w:t>
      </w:r>
      <w:r>
        <w:rPr>
          <w:rFonts w:hint="eastAsia" w:ascii="仿宋_GB2312" w:eastAsia="仿宋_GB2312"/>
          <w:sz w:val="28"/>
          <w:szCs w:val="28"/>
          <w:highlight w:val="none"/>
        </w:rPr>
        <w:t>。</w:t>
      </w:r>
    </w:p>
    <w:p w14:paraId="15FFA509">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FE52CA4">
      <w:pPr>
        <w:numPr>
          <w:ilvl w:val="0"/>
          <w:numId w:val="0"/>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highlight w:val="none"/>
        </w:rPr>
        <w:t>本单位202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年度无政府性基金预算财政拨款安排的支出</w:t>
      </w:r>
      <w:r>
        <w:rPr>
          <w:rFonts w:hint="eastAsia" w:ascii="仿宋_GB2312" w:eastAsia="仿宋_GB2312"/>
          <w:sz w:val="28"/>
          <w:szCs w:val="28"/>
          <w:highlight w:val="none"/>
          <w:lang w:eastAsia="zh-CN"/>
        </w:rPr>
        <w:t>。</w:t>
      </w:r>
    </w:p>
    <w:p w14:paraId="030E2C73">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6556354">
      <w:pPr>
        <w:numPr>
          <w:ilvl w:val="0"/>
          <w:numId w:val="0"/>
        </w:num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highlight w:val="none"/>
        </w:rPr>
        <w:t>本单位202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年度无国有资本经营预算财</w:t>
      </w:r>
      <w:r>
        <w:rPr>
          <w:rFonts w:ascii="仿宋_GB2312" w:eastAsia="仿宋_GB2312"/>
          <w:sz w:val="28"/>
          <w:szCs w:val="28"/>
          <w:highlight w:val="none"/>
        </w:rPr>
        <w:t>政拨款</w:t>
      </w:r>
      <w:r>
        <w:rPr>
          <w:rFonts w:hint="eastAsia" w:ascii="仿宋_GB2312" w:eastAsia="仿宋_GB2312"/>
          <w:sz w:val="28"/>
          <w:szCs w:val="28"/>
          <w:highlight w:val="none"/>
        </w:rPr>
        <w:t>安排的支出</w:t>
      </w:r>
      <w:r>
        <w:rPr>
          <w:rFonts w:hint="eastAsia" w:ascii="仿宋_GB2312" w:eastAsia="仿宋_GB2312"/>
          <w:sz w:val="28"/>
          <w:szCs w:val="28"/>
          <w:highlight w:val="none"/>
          <w:lang w:eastAsia="zh-CN"/>
        </w:rPr>
        <w:t>。</w:t>
      </w:r>
    </w:p>
    <w:p w14:paraId="51206851">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C70BC3F">
      <w:pPr>
        <w:tabs>
          <w:tab w:val="center" w:pos="6979"/>
        </w:tabs>
        <w:spacing w:line="580" w:lineRule="exact"/>
        <w:ind w:firstLine="548" w:firstLineChars="196"/>
        <w:rPr>
          <w:rFonts w:hint="eastAsia" w:ascii="黑体" w:eastAsia="黑体"/>
          <w:b/>
          <w:sz w:val="28"/>
          <w:szCs w:val="28"/>
        </w:rPr>
      </w:pPr>
      <w:r>
        <w:rPr>
          <w:rFonts w:ascii="仿宋_GB2312" w:eastAsia="仿宋_GB2312"/>
          <w:sz w:val="28"/>
          <w:szCs w:val="28"/>
        </w:rPr>
        <w:t>20</w:t>
      </w:r>
      <w:r>
        <w:rPr>
          <w:rFonts w:hint="eastAsia" w:ascii="仿宋_GB2312" w:eastAsia="仿宋_GB2312"/>
          <w:sz w:val="28"/>
          <w:szCs w:val="28"/>
        </w:rPr>
        <w:t>24年度使用一般公共预算财政拨款安排基本支出</w:t>
      </w:r>
      <w:r>
        <w:rPr>
          <w:rFonts w:hint="eastAsia" w:ascii="仿宋_GB2312" w:eastAsia="仿宋_GB2312"/>
          <w:sz w:val="28"/>
          <w:szCs w:val="28"/>
          <w:lang w:val="en-US" w:eastAsia="zh-CN"/>
        </w:rPr>
        <w:t>768.78</w:t>
      </w:r>
      <w:r>
        <w:rPr>
          <w:rFonts w:hint="eastAsia" w:ascii="仿宋_GB2312" w:eastAsia="仿宋_GB2312"/>
          <w:sz w:val="28"/>
          <w:szCs w:val="28"/>
        </w:rPr>
        <w:t>万元，使用政府性基金财政拨款安排基本支出</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highlight w:val="none"/>
        </w:rPr>
        <w:t>其中：（1）工资福利支出包括基本工资</w:t>
      </w:r>
      <w:r>
        <w:rPr>
          <w:rFonts w:ascii="仿宋_GB2312" w:eastAsia="仿宋_GB2312"/>
          <w:sz w:val="28"/>
          <w:szCs w:val="28"/>
          <w:highlight w:val="none"/>
        </w:rPr>
        <w:t>、津贴补贴、奖金、绩效工资、</w:t>
      </w:r>
      <w:r>
        <w:rPr>
          <w:rFonts w:hint="eastAsia" w:ascii="仿宋_GB2312" w:eastAsia="仿宋_GB2312"/>
          <w:sz w:val="28"/>
          <w:szCs w:val="28"/>
          <w:highlight w:val="none"/>
        </w:rPr>
        <w:t>其他</w:t>
      </w:r>
      <w:r>
        <w:rPr>
          <w:rFonts w:ascii="仿宋_GB2312" w:eastAsia="仿宋_GB2312"/>
          <w:sz w:val="28"/>
          <w:szCs w:val="28"/>
          <w:highlight w:val="none"/>
        </w:rPr>
        <w:t>社会保障缴费</w:t>
      </w:r>
      <w:r>
        <w:rPr>
          <w:rFonts w:hint="eastAsia" w:ascii="仿宋_GB2312" w:eastAsia="仿宋_GB2312"/>
          <w:sz w:val="28"/>
          <w:szCs w:val="28"/>
          <w:highlight w:val="none"/>
        </w:rPr>
        <w:t>；（2）商品和服务支出包括</w:t>
      </w:r>
      <w:r>
        <w:rPr>
          <w:rFonts w:ascii="仿宋_GB2312" w:eastAsia="仿宋_GB2312"/>
          <w:sz w:val="28"/>
          <w:szCs w:val="28"/>
          <w:highlight w:val="none"/>
        </w:rPr>
        <w:t>办公费、手续费、水费、邮电费、差旅费、因公出国（境）费、维修（护）费、工会经费、福利费、公务用车运行维护费、其他交通费、其他商品和服务</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；（3）对个人和家庭补助支出包括</w:t>
      </w:r>
      <w:r>
        <w:rPr>
          <w:rFonts w:ascii="仿宋_GB2312" w:eastAsia="仿宋_GB2312"/>
          <w:sz w:val="28"/>
          <w:szCs w:val="28"/>
          <w:highlight w:val="none"/>
        </w:rPr>
        <w:t>退休费、奖励金</w:t>
      </w:r>
      <w:r>
        <w:rPr>
          <w:rFonts w:hint="eastAsia" w:ascii="仿宋_GB2312" w:eastAsia="仿宋_GB2312"/>
          <w:sz w:val="28"/>
          <w:szCs w:val="28"/>
          <w:highlight w:val="none"/>
        </w:rPr>
        <w:t>等</w:t>
      </w:r>
      <w:r>
        <w:rPr>
          <w:rFonts w:ascii="仿宋_GB2312" w:eastAsia="仿宋_GB2312"/>
          <w:sz w:val="28"/>
          <w:szCs w:val="28"/>
          <w:highlight w:val="none"/>
        </w:rPr>
        <w:t>支出</w:t>
      </w:r>
      <w:r>
        <w:rPr>
          <w:rFonts w:hint="eastAsia" w:ascii="仿宋_GB2312" w:eastAsia="仿宋_GB2312"/>
          <w:sz w:val="28"/>
          <w:szCs w:val="28"/>
          <w:highlight w:val="none"/>
        </w:rPr>
        <w:t>。</w:t>
      </w:r>
    </w:p>
    <w:p w14:paraId="1EF4875D">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12D33B02">
      <w:pPr>
        <w:tabs>
          <w:tab w:val="center" w:pos="6979"/>
        </w:tabs>
        <w:jc w:val="center"/>
        <w:rPr>
          <w:rFonts w:hint="eastAsia" w:ascii="宋体" w:hAnsi="宋体" w:cs="宋体"/>
          <w:b/>
          <w:bCs/>
          <w:spacing w:val="40"/>
          <w:kern w:val="0"/>
          <w:sz w:val="32"/>
          <w:szCs w:val="32"/>
        </w:rPr>
      </w:pPr>
    </w:p>
    <w:p w14:paraId="67502ED7">
      <w:pPr>
        <w:tabs>
          <w:tab w:val="center" w:pos="6979"/>
        </w:tabs>
        <w:jc w:val="center"/>
        <w:rPr>
          <w:rFonts w:hint="eastAsia" w:ascii="宋体" w:hAnsi="宋体" w:cs="宋体"/>
          <w:b/>
          <w:bCs/>
          <w:spacing w:val="40"/>
          <w:kern w:val="0"/>
          <w:sz w:val="32"/>
          <w:szCs w:val="32"/>
        </w:rPr>
      </w:pPr>
    </w:p>
    <w:p w14:paraId="1B9F8C8F">
      <w:pPr>
        <w:tabs>
          <w:tab w:val="center" w:pos="6979"/>
        </w:tabs>
        <w:jc w:val="center"/>
        <w:rPr>
          <w:rFonts w:hint="eastAsia" w:ascii="宋体" w:hAnsi="宋体" w:cs="宋体"/>
          <w:b/>
          <w:bCs/>
          <w:spacing w:val="40"/>
          <w:kern w:val="0"/>
          <w:sz w:val="32"/>
          <w:szCs w:val="32"/>
        </w:rPr>
      </w:pPr>
    </w:p>
    <w:p w14:paraId="2F145D2F">
      <w:pPr>
        <w:tabs>
          <w:tab w:val="center" w:pos="6979"/>
        </w:tabs>
        <w:jc w:val="both"/>
        <w:rPr>
          <w:rFonts w:hint="eastAsia" w:ascii="宋体" w:hAnsi="宋体" w:cs="宋体"/>
          <w:b/>
          <w:bCs/>
          <w:spacing w:val="40"/>
          <w:kern w:val="0"/>
          <w:sz w:val="32"/>
          <w:szCs w:val="32"/>
        </w:rPr>
      </w:pPr>
    </w:p>
    <w:p w14:paraId="2A0E68C9">
      <w:pPr>
        <w:tabs>
          <w:tab w:val="center" w:pos="6979"/>
        </w:tabs>
        <w:jc w:val="center"/>
        <w:rPr>
          <w:rFonts w:hint="eastAsia" w:ascii="宋体" w:hAnsi="宋体" w:cs="宋体"/>
          <w:b/>
          <w:bCs/>
          <w:spacing w:val="40"/>
          <w:kern w:val="0"/>
          <w:sz w:val="32"/>
          <w:szCs w:val="32"/>
        </w:rPr>
      </w:pPr>
    </w:p>
    <w:p w14:paraId="6D13A25F">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87EC550">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0F57FAC9">
      <w:pPr>
        <w:tabs>
          <w:tab w:val="center" w:pos="6979"/>
        </w:tabs>
        <w:ind w:firstLine="560" w:firstLineChars="200"/>
        <w:jc w:val="left"/>
        <w:rPr>
          <w:rFonts w:hint="eastAsia" w:ascii="宋体" w:hAnsi="宋体" w:cs="宋体"/>
          <w:b/>
          <w:color w:val="FF0000"/>
          <w:spacing w:val="40"/>
          <w:kern w:val="0"/>
          <w:sz w:val="32"/>
          <w:szCs w:val="32"/>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年度“三公”经费财政拨款决算数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年度“三公”经费财政拨款年初预算</w:t>
      </w:r>
      <w:r>
        <w:rPr>
          <w:rFonts w:hint="eastAsia" w:ascii="仿宋_GB2312" w:eastAsia="仿宋_GB2312"/>
          <w:sz w:val="28"/>
          <w:szCs w:val="28"/>
          <w:highlight w:val="none"/>
          <w:lang w:val="en-US" w:eastAsia="zh-CN"/>
        </w:rPr>
        <w:t>0.2</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0.2</w:t>
      </w:r>
      <w:r>
        <w:rPr>
          <w:rFonts w:hint="eastAsia" w:ascii="仿宋_GB2312" w:eastAsia="仿宋_GB2312"/>
          <w:sz w:val="28"/>
          <w:szCs w:val="28"/>
          <w:highlight w:val="none"/>
        </w:rPr>
        <w:t>万元。其中：</w:t>
      </w:r>
    </w:p>
    <w:p w14:paraId="246CEB75">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1.因公出国（境）费用。202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万元增加</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：落实政府过紧日子要求，本年度无此项预算和支出</w:t>
      </w:r>
      <w:r>
        <w:rPr>
          <w:rFonts w:hint="eastAsia" w:ascii="仿宋_GB2312" w:eastAsia="仿宋_GB2312"/>
          <w:sz w:val="28"/>
          <w:szCs w:val="28"/>
          <w:highlight w:val="none"/>
        </w:rPr>
        <w:t>；</w:t>
      </w:r>
    </w:p>
    <w:p w14:paraId="5F240D8E">
      <w:pPr>
        <w:spacing w:line="560" w:lineRule="exact"/>
        <w:ind w:firstLine="600"/>
        <w:rPr>
          <w:rFonts w:hint="eastAsia" w:ascii="仿宋_GB2312" w:eastAsia="仿宋_GB2312"/>
          <w:sz w:val="28"/>
          <w:szCs w:val="28"/>
          <w:highlight w:val="none"/>
        </w:rPr>
      </w:pPr>
      <w:r>
        <w:rPr>
          <w:rFonts w:hint="eastAsia" w:ascii="仿宋_GB2312" w:eastAsia="仿宋_GB2312"/>
          <w:sz w:val="28"/>
          <w:szCs w:val="28"/>
          <w:highlight w:val="none"/>
        </w:rPr>
        <w:t>2.公务接待费。202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0.2</w:t>
      </w:r>
      <w:r>
        <w:rPr>
          <w:rFonts w:hint="eastAsia" w:ascii="仿宋_GB2312" w:eastAsia="仿宋_GB2312"/>
          <w:sz w:val="28"/>
          <w:szCs w:val="28"/>
          <w:highlight w:val="none"/>
        </w:rPr>
        <w:t>万元减少</w:t>
      </w:r>
      <w:r>
        <w:rPr>
          <w:rFonts w:hint="eastAsia" w:ascii="仿宋_GB2312" w:eastAsia="仿宋_GB2312"/>
          <w:sz w:val="28"/>
          <w:szCs w:val="28"/>
          <w:highlight w:val="none"/>
          <w:lang w:val="en-US" w:eastAsia="zh-CN"/>
        </w:rPr>
        <w:t>0.2</w:t>
      </w:r>
      <w:r>
        <w:rPr>
          <w:rFonts w:hint="eastAsia" w:ascii="仿宋_GB2312" w:eastAsia="仿宋_GB2312"/>
          <w:sz w:val="28"/>
          <w:szCs w:val="28"/>
          <w:highlight w:val="none"/>
        </w:rPr>
        <w:t>万元。主要原因</w:t>
      </w:r>
      <w:r>
        <w:rPr>
          <w:rFonts w:hint="eastAsia" w:ascii="仿宋_GB2312" w:eastAsia="仿宋_GB2312"/>
          <w:sz w:val="28"/>
          <w:szCs w:val="28"/>
          <w:highlight w:val="none"/>
          <w:lang w:val="en-US" w:eastAsia="zh-CN"/>
        </w:rPr>
        <w:t>：落实政府过紧日子要求，本年度无公务接待费支出</w:t>
      </w:r>
      <w:r>
        <w:rPr>
          <w:rFonts w:hint="eastAsia" w:ascii="仿宋_GB2312" w:eastAsia="仿宋_GB2312"/>
          <w:sz w:val="28"/>
          <w:szCs w:val="28"/>
          <w:highlight w:val="none"/>
        </w:rPr>
        <w:t>。</w:t>
      </w:r>
    </w:p>
    <w:p w14:paraId="0E16E00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3.公务用车购置及运行维护费。202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增加</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万元。其中，公务用车购置费202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本年度无此项预算和支出；</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年度购置（更新）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辆，车均购置费</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万元。公务用车运行维护费202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年度公务用车保有量</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辆</w:t>
      </w:r>
      <w:r>
        <w:rPr>
          <w:rFonts w:hint="eastAsia" w:ascii="仿宋_GB2312" w:eastAsia="仿宋_GB2312"/>
          <w:sz w:val="28"/>
          <w:szCs w:val="28"/>
          <w:highlight w:val="none"/>
          <w:lang w:eastAsia="zh-CN"/>
        </w:rPr>
        <w:t>（</w:t>
      </w:r>
      <w:r>
        <w:rPr>
          <w:rFonts w:hint="eastAsia" w:ascii="仿宋_GB2312" w:eastAsia="仿宋_GB2312"/>
          <w:sz w:val="28"/>
          <w:szCs w:val="28"/>
          <w:highlight w:val="none"/>
          <w:lang w:val="en-US" w:eastAsia="zh-CN"/>
        </w:rPr>
        <w:t>2023</w:t>
      </w:r>
      <w:r>
        <w:rPr>
          <w:rFonts w:hint="eastAsia" w:ascii="仿宋_GB2312" w:eastAsia="仿宋_GB2312"/>
          <w:sz w:val="28"/>
          <w:szCs w:val="28"/>
          <w:highlight w:val="none"/>
          <w:lang w:eastAsia="zh-CN"/>
        </w:rPr>
        <w:t>年初已调拨出）</w:t>
      </w:r>
      <w:r>
        <w:rPr>
          <w:rFonts w:hint="eastAsia" w:ascii="仿宋_GB2312" w:eastAsia="仿宋_GB2312"/>
          <w:sz w:val="28"/>
          <w:szCs w:val="28"/>
          <w:highlight w:val="none"/>
        </w:rPr>
        <w:t>。</w:t>
      </w:r>
    </w:p>
    <w:p w14:paraId="0A519EBC">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0A4C8BF">
      <w:pPr>
        <w:ind w:firstLine="537" w:firstLineChars="192"/>
        <w:rPr>
          <w:rFonts w:hint="eastAsia" w:ascii="仿宋_GB2312" w:eastAsia="仿宋_GB2312"/>
          <w:sz w:val="28"/>
          <w:szCs w:val="28"/>
        </w:rPr>
      </w:pPr>
      <w:r>
        <w:rPr>
          <w:rFonts w:hint="eastAsia" w:ascii="仿宋_GB2312" w:eastAsia="仿宋_GB2312"/>
          <w:sz w:val="28"/>
          <w:szCs w:val="28"/>
        </w:rPr>
        <w:t>2024年</w:t>
      </w:r>
      <w:r>
        <w:rPr>
          <w:rFonts w:hint="eastAsia" w:ascii="仿宋_GB2312" w:eastAsia="仿宋_GB2312"/>
          <w:color w:val="auto"/>
          <w:sz w:val="28"/>
          <w:szCs w:val="28"/>
          <w:highlight w:val="none"/>
        </w:rPr>
        <w:t>度</w:t>
      </w:r>
      <w:r>
        <w:rPr>
          <w:rFonts w:hint="eastAsia" w:ascii="仿宋_GB2312" w:eastAsia="仿宋_GB2312"/>
          <w:color w:val="auto"/>
          <w:sz w:val="28"/>
          <w:szCs w:val="28"/>
          <w:highlight w:val="none"/>
          <w:lang w:val="en-US" w:eastAsia="zh-CN"/>
        </w:rPr>
        <w:t>机关运行经费</w:t>
      </w:r>
      <w:r>
        <w:rPr>
          <w:rFonts w:hint="eastAsia" w:ascii="仿宋_GB2312" w:eastAsia="仿宋_GB2312"/>
          <w:color w:val="auto"/>
          <w:sz w:val="28"/>
          <w:szCs w:val="28"/>
          <w:highlight w:val="none"/>
        </w:rPr>
        <w:t>支出</w:t>
      </w:r>
      <w:r>
        <w:rPr>
          <w:rFonts w:hint="eastAsia" w:ascii="仿宋_GB2312" w:eastAsia="仿宋_GB2312"/>
          <w:sz w:val="28"/>
          <w:szCs w:val="28"/>
        </w:rPr>
        <w:t>，合计</w:t>
      </w:r>
      <w:r>
        <w:rPr>
          <w:rFonts w:hint="eastAsia" w:ascii="仿宋_GB2312" w:eastAsia="仿宋_GB2312"/>
          <w:sz w:val="28"/>
          <w:szCs w:val="28"/>
          <w:lang w:val="en-US" w:eastAsia="zh-CN"/>
        </w:rPr>
        <w:t>37.19</w:t>
      </w:r>
      <w:r>
        <w:rPr>
          <w:rFonts w:hint="eastAsia" w:ascii="仿宋_GB2312" w:eastAsia="仿宋_GB2312"/>
          <w:sz w:val="28"/>
          <w:szCs w:val="28"/>
        </w:rPr>
        <w:t>万元，比上年减少</w:t>
      </w:r>
      <w:r>
        <w:rPr>
          <w:rFonts w:hint="eastAsia" w:ascii="仿宋_GB2312" w:eastAsia="仿宋_GB2312"/>
          <w:sz w:val="28"/>
          <w:szCs w:val="28"/>
          <w:lang w:val="en-US" w:eastAsia="zh-CN"/>
        </w:rPr>
        <w:t>1.72</w:t>
      </w:r>
      <w:r>
        <w:rPr>
          <w:rFonts w:hint="eastAsia" w:ascii="仿宋_GB2312" w:eastAsia="仿宋_GB2312"/>
          <w:sz w:val="28"/>
          <w:szCs w:val="28"/>
        </w:rPr>
        <w:t>万元，减少原因：</w:t>
      </w:r>
      <w:r>
        <w:rPr>
          <w:rFonts w:hint="eastAsia" w:ascii="仿宋_GB2312" w:eastAsia="仿宋_GB2312"/>
          <w:sz w:val="28"/>
          <w:szCs w:val="28"/>
          <w:highlight w:val="none"/>
          <w:lang w:val="en-US" w:eastAsia="zh-CN"/>
        </w:rPr>
        <w:t>落实政府过紧日子要求，节约日常开支</w:t>
      </w:r>
      <w:r>
        <w:rPr>
          <w:rFonts w:hint="eastAsia" w:ascii="仿宋_GB2312" w:eastAsia="仿宋_GB2312"/>
          <w:sz w:val="28"/>
          <w:szCs w:val="28"/>
        </w:rPr>
        <w:t>。</w:t>
      </w:r>
    </w:p>
    <w:p w14:paraId="69FE6C3E">
      <w:pPr>
        <w:ind w:left="540"/>
        <w:rPr>
          <w:rFonts w:hint="eastAsia" w:ascii="黑体" w:eastAsia="黑体"/>
          <w:sz w:val="28"/>
          <w:szCs w:val="28"/>
        </w:rPr>
      </w:pPr>
      <w:r>
        <w:rPr>
          <w:rFonts w:hint="eastAsia" w:ascii="黑体" w:eastAsia="黑体"/>
          <w:sz w:val="28"/>
          <w:szCs w:val="28"/>
        </w:rPr>
        <w:t>三、政府采购支出情况</w:t>
      </w:r>
    </w:p>
    <w:p w14:paraId="02C38B30">
      <w:pPr>
        <w:ind w:firstLine="537" w:firstLineChars="192"/>
        <w:rPr>
          <w:rFonts w:hint="eastAsia" w:ascii="仿宋_GB2312" w:eastAsia="仿宋_GB2312"/>
          <w:sz w:val="28"/>
          <w:szCs w:val="28"/>
        </w:rPr>
      </w:pPr>
      <w:r>
        <w:rPr>
          <w:rFonts w:hint="eastAsia" w:ascii="仿宋_GB2312" w:eastAsia="仿宋_GB2312"/>
          <w:sz w:val="28"/>
          <w:szCs w:val="28"/>
          <w:highlight w:val="none"/>
        </w:rPr>
        <w:t>2024年度政府采购支出总额</w:t>
      </w:r>
      <w:r>
        <w:rPr>
          <w:rFonts w:hint="eastAsia" w:ascii="仿宋_GB2312" w:eastAsia="仿宋_GB2312"/>
          <w:sz w:val="28"/>
          <w:szCs w:val="28"/>
          <w:highlight w:val="none"/>
          <w:lang w:val="en-US" w:eastAsia="zh-CN"/>
        </w:rPr>
        <w:t>0.97</w:t>
      </w:r>
      <w:r>
        <w:rPr>
          <w:rFonts w:hint="eastAsia" w:ascii="仿宋_GB2312" w:eastAsia="仿宋_GB2312"/>
          <w:sz w:val="28"/>
          <w:szCs w:val="28"/>
          <w:highlight w:val="none"/>
        </w:rPr>
        <w:t>万元，其中：政府采购货物支出</w:t>
      </w:r>
      <w:r>
        <w:rPr>
          <w:rFonts w:hint="eastAsia" w:ascii="仿宋_GB2312" w:eastAsia="仿宋_GB2312"/>
          <w:sz w:val="28"/>
          <w:szCs w:val="28"/>
          <w:highlight w:val="none"/>
          <w:lang w:val="en-US" w:eastAsia="zh-CN"/>
        </w:rPr>
        <w:t>0.97</w:t>
      </w:r>
      <w:r>
        <w:rPr>
          <w:rFonts w:hint="eastAsia" w:ascii="仿宋_GB2312" w:eastAsia="仿宋_GB2312"/>
          <w:sz w:val="28"/>
          <w:szCs w:val="28"/>
          <w:highlight w:val="none"/>
        </w:rPr>
        <w:t>万元，政府采购工程支出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万元，政府采购服务支出</w:t>
      </w:r>
      <w:r>
        <w:rPr>
          <w:rFonts w:hint="eastAsia" w:ascii="仿宋_GB2312" w:eastAsia="仿宋_GB2312"/>
          <w:sz w:val="28"/>
          <w:szCs w:val="28"/>
          <w:highlight w:val="none"/>
          <w:lang w:val="en-US" w:eastAsia="zh-CN"/>
        </w:rPr>
        <w:t>0</w:t>
      </w:r>
      <w:r>
        <w:rPr>
          <w:rFonts w:hint="eastAsia" w:ascii="仿宋_GB2312" w:eastAsia="仿宋_GB2312"/>
          <w:sz w:val="28"/>
          <w:szCs w:val="28"/>
          <w:highlight w:val="none"/>
        </w:rPr>
        <w:t>万元。授予中小企业合同金额</w:t>
      </w:r>
      <w:r>
        <w:rPr>
          <w:rFonts w:hint="eastAsia" w:ascii="仿宋_GB2312" w:eastAsia="仿宋_GB2312"/>
          <w:sz w:val="28"/>
          <w:szCs w:val="28"/>
          <w:highlight w:val="none"/>
          <w:lang w:val="en-US" w:eastAsia="zh-CN"/>
        </w:rPr>
        <w:t>0.97</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0.97</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100</w:t>
      </w:r>
      <w:r>
        <w:rPr>
          <w:rFonts w:hint="eastAsia" w:ascii="仿宋_GB2312" w:eastAsia="仿宋_GB2312"/>
          <w:sz w:val="28"/>
          <w:szCs w:val="28"/>
          <w:highlight w:val="none"/>
        </w:rPr>
        <w:t>%。</w:t>
      </w:r>
    </w:p>
    <w:p w14:paraId="40FC010C">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96EF0AB">
      <w:pPr>
        <w:ind w:firstLine="560" w:firstLineChars="200"/>
        <w:rPr>
          <w:rFonts w:ascii="仿宋_GB2312" w:eastAsia="仿宋_GB2312"/>
          <w:sz w:val="32"/>
          <w:szCs w:val="32"/>
        </w:rPr>
      </w:pPr>
      <w:r>
        <w:rPr>
          <w:rFonts w:hint="eastAsia" w:ascii="仿宋_GB2312" w:eastAsia="仿宋_GB2312"/>
          <w:color w:val="auto"/>
          <w:sz w:val="28"/>
          <w:szCs w:val="28"/>
          <w:highlight w:val="none"/>
          <w:lang w:val="en-US" w:eastAsia="zh-CN"/>
        </w:rPr>
        <w:t>截至12月31日，</w:t>
      </w:r>
      <w:r>
        <w:rPr>
          <w:rFonts w:hint="eastAsia" w:ascii="仿宋_GB2312" w:eastAsia="仿宋_GB2312"/>
          <w:color w:val="auto"/>
          <w:sz w:val="28"/>
          <w:szCs w:val="28"/>
          <w:highlight w:val="none"/>
        </w:rPr>
        <w:t>大兴区</w:t>
      </w:r>
      <w:r>
        <w:rPr>
          <w:rFonts w:hint="eastAsia" w:ascii="仿宋_GB2312" w:eastAsia="仿宋_GB2312"/>
          <w:color w:val="auto"/>
          <w:sz w:val="28"/>
          <w:szCs w:val="28"/>
          <w:highlight w:val="none"/>
          <w:lang w:eastAsia="zh-CN"/>
        </w:rPr>
        <w:t>委</w:t>
      </w:r>
      <w:r>
        <w:rPr>
          <w:rFonts w:hint="eastAsia" w:ascii="仿宋_GB2312" w:eastAsia="仿宋_GB2312"/>
          <w:color w:val="auto"/>
          <w:sz w:val="28"/>
          <w:szCs w:val="28"/>
          <w:highlight w:val="none"/>
        </w:rPr>
        <w:t>机构编制委员会办公室</w:t>
      </w:r>
      <w:r>
        <w:rPr>
          <w:rFonts w:hint="eastAsia" w:ascii="仿宋_GB2312" w:eastAsia="仿宋_GB2312"/>
          <w:color w:val="auto"/>
          <w:sz w:val="28"/>
          <w:szCs w:val="28"/>
          <w:highlight w:val="none"/>
          <w:lang w:eastAsia="zh-CN"/>
        </w:rPr>
        <w:t>共有</w:t>
      </w:r>
      <w:r>
        <w:rPr>
          <w:rFonts w:hint="eastAsia" w:ascii="仿宋_GB2312" w:eastAsia="仿宋_GB2312"/>
          <w:color w:val="auto"/>
          <w:sz w:val="28"/>
          <w:szCs w:val="28"/>
          <w:highlight w:val="none"/>
        </w:rPr>
        <w:t>车辆</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台</w:t>
      </w:r>
      <w:r>
        <w:rPr>
          <w:rFonts w:hint="eastAsia" w:ascii="仿宋_GB2312" w:eastAsia="仿宋_GB2312"/>
          <w:color w:val="auto"/>
          <w:sz w:val="28"/>
          <w:szCs w:val="28"/>
          <w:highlight w:val="none"/>
          <w:lang w:eastAsia="zh-CN"/>
        </w:rPr>
        <w:t>；</w:t>
      </w:r>
      <w:r>
        <w:rPr>
          <w:rFonts w:hint="eastAsia" w:ascii="仿宋_GB2312" w:eastAsia="仿宋_GB2312"/>
          <w:color w:val="auto"/>
          <w:sz w:val="28"/>
          <w:szCs w:val="28"/>
          <w:highlight w:val="none"/>
        </w:rPr>
        <w:t>单位价值100万元以上的设备</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台（套）</w:t>
      </w:r>
      <w:r>
        <w:rPr>
          <w:rFonts w:hint="eastAsia" w:ascii="仿宋_GB2312" w:eastAsia="仿宋_GB2312"/>
          <w:color w:val="auto"/>
          <w:sz w:val="28"/>
          <w:szCs w:val="28"/>
          <w:highlight w:val="none"/>
          <w:lang w:eastAsia="zh-CN"/>
        </w:rPr>
        <w:t>。</w:t>
      </w:r>
    </w:p>
    <w:p w14:paraId="2326BF63">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B917ED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726CA038">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27A1624">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495A7267">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E7EB42C">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C1BAFF4">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5830D4C4">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14:paraId="06079247">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3622A44">
      <w:pPr>
        <w:ind w:firstLine="420" w:firstLineChars="150"/>
        <w:rPr>
          <w:rFonts w:hint="eastAsia" w:ascii="黑体" w:eastAsia="黑体"/>
          <w:sz w:val="32"/>
          <w:szCs w:val="32"/>
        </w:rPr>
      </w:pPr>
      <w:r>
        <w:rPr>
          <w:rFonts w:hint="eastAsia" w:ascii="仿宋_GB2312" w:eastAsia="仿宋_GB2312"/>
          <w:sz w:val="28"/>
          <w:szCs w:val="28"/>
          <w:highlight w:val="none"/>
        </w:rPr>
        <w:t>7.</w:t>
      </w:r>
      <w:r>
        <w:rPr>
          <w:rFonts w:hint="eastAsia" w:ascii="仿宋_GB2312" w:eastAsia="仿宋_GB2312"/>
          <w:b/>
          <w:sz w:val="28"/>
          <w:szCs w:val="28"/>
          <w:highlight w:val="none"/>
        </w:rPr>
        <w:t xml:space="preserve"> </w:t>
      </w:r>
      <w:r>
        <w:rPr>
          <w:rFonts w:hint="eastAsia" w:ascii="仿宋_GB2312" w:eastAsia="仿宋_GB2312"/>
          <w:sz w:val="28"/>
          <w:szCs w:val="28"/>
          <w:highlight w:val="none"/>
          <w:lang w:eastAsia="zh-CN"/>
        </w:rPr>
        <w:t>一般公共服务支出组织事务行政运行：反映中国共产党组织部门的支出。</w:t>
      </w:r>
    </w:p>
    <w:p w14:paraId="62FD7256">
      <w:pPr>
        <w:ind w:firstLine="640" w:firstLineChars="200"/>
        <w:jc w:val="center"/>
        <w:rPr>
          <w:rFonts w:hint="eastAsia" w:ascii="黑体" w:eastAsia="黑体"/>
          <w:sz w:val="32"/>
          <w:szCs w:val="32"/>
        </w:rPr>
      </w:pPr>
    </w:p>
    <w:p w14:paraId="500ED970">
      <w:pPr>
        <w:ind w:firstLine="640" w:firstLineChars="200"/>
        <w:jc w:val="center"/>
        <w:rPr>
          <w:rFonts w:hint="eastAsia" w:ascii="黑体" w:eastAsia="黑体"/>
          <w:sz w:val="32"/>
          <w:szCs w:val="32"/>
        </w:rPr>
      </w:pPr>
    </w:p>
    <w:p w14:paraId="57532961">
      <w:pPr>
        <w:ind w:firstLine="640" w:firstLineChars="200"/>
        <w:jc w:val="center"/>
        <w:rPr>
          <w:rFonts w:hint="eastAsia" w:ascii="黑体" w:eastAsia="黑体"/>
          <w:sz w:val="32"/>
          <w:szCs w:val="32"/>
        </w:rPr>
      </w:pPr>
    </w:p>
    <w:p w14:paraId="747E885D">
      <w:pPr>
        <w:ind w:firstLine="640" w:firstLineChars="200"/>
        <w:jc w:val="center"/>
        <w:rPr>
          <w:rFonts w:hint="eastAsia" w:ascii="黑体" w:eastAsia="黑体"/>
          <w:sz w:val="32"/>
          <w:szCs w:val="32"/>
        </w:rPr>
      </w:pPr>
    </w:p>
    <w:p w14:paraId="1F11398D">
      <w:pPr>
        <w:ind w:firstLine="640" w:firstLineChars="200"/>
        <w:jc w:val="center"/>
        <w:rPr>
          <w:rFonts w:hint="eastAsia" w:ascii="黑体" w:eastAsia="黑体"/>
          <w:sz w:val="32"/>
          <w:szCs w:val="32"/>
        </w:rPr>
      </w:pPr>
    </w:p>
    <w:p w14:paraId="770BA545">
      <w:pPr>
        <w:ind w:firstLine="640" w:firstLineChars="200"/>
        <w:jc w:val="center"/>
        <w:rPr>
          <w:rFonts w:hint="eastAsia" w:ascii="黑体" w:eastAsia="黑体"/>
          <w:sz w:val="32"/>
          <w:szCs w:val="32"/>
        </w:rPr>
      </w:pPr>
    </w:p>
    <w:p w14:paraId="0E7CE6CD">
      <w:pPr>
        <w:ind w:firstLine="640" w:firstLineChars="200"/>
        <w:jc w:val="center"/>
        <w:rPr>
          <w:rFonts w:hint="eastAsia" w:ascii="黑体" w:eastAsia="黑体"/>
          <w:sz w:val="32"/>
          <w:szCs w:val="32"/>
        </w:rPr>
      </w:pPr>
    </w:p>
    <w:p w14:paraId="75A9E03F">
      <w:pPr>
        <w:ind w:firstLine="640" w:firstLineChars="200"/>
        <w:jc w:val="center"/>
        <w:rPr>
          <w:rFonts w:hint="eastAsia" w:ascii="黑体" w:eastAsia="黑体"/>
          <w:sz w:val="32"/>
          <w:szCs w:val="32"/>
        </w:rPr>
      </w:pPr>
    </w:p>
    <w:p w14:paraId="39FBAC29">
      <w:pPr>
        <w:ind w:firstLine="640" w:firstLineChars="200"/>
        <w:jc w:val="center"/>
        <w:rPr>
          <w:rFonts w:hint="eastAsia" w:ascii="黑体" w:eastAsia="黑体"/>
          <w:sz w:val="32"/>
          <w:szCs w:val="32"/>
        </w:rPr>
      </w:pPr>
    </w:p>
    <w:p w14:paraId="57E6E0AE">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D5625FF">
      <w:pPr>
        <w:ind w:firstLine="560" w:firstLineChars="200"/>
        <w:rPr>
          <w:rFonts w:hint="eastAsia" w:ascii="黑体" w:eastAsia="黑体"/>
          <w:sz w:val="28"/>
          <w:szCs w:val="28"/>
          <w:highlight w:val="yellow"/>
        </w:rPr>
      </w:pPr>
    </w:p>
    <w:p w14:paraId="598985C1">
      <w:pPr>
        <w:pStyle w:val="4"/>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5A3FD1">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3</w:t>
    </w:r>
    <w:r>
      <w:fldChar w:fldCharType="end"/>
    </w:r>
  </w:p>
  <w:p w14:paraId="17230913">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82E652">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5</w:t>
    </w:r>
    <w:r>
      <w:fldChar w:fldCharType="end"/>
    </w:r>
  </w:p>
  <w:p w14:paraId="7245BEDD">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1F78C">
    <w:pPr>
      <w:pStyle w:val="8"/>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14:paraId="22831E01">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D9F83B9"/>
    <w:multiLevelType w:val="singleLevel"/>
    <w:tmpl w:val="6D9F83B9"/>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7AA2823"/>
    <w:rsid w:val="08B374B6"/>
    <w:rsid w:val="0BA148CA"/>
    <w:rsid w:val="0BDF213C"/>
    <w:rsid w:val="0C1165C4"/>
    <w:rsid w:val="0D6D544B"/>
    <w:rsid w:val="0DD136FE"/>
    <w:rsid w:val="0F542F2C"/>
    <w:rsid w:val="0F8E2C57"/>
    <w:rsid w:val="1059665E"/>
    <w:rsid w:val="10AC13BA"/>
    <w:rsid w:val="145A6C1B"/>
    <w:rsid w:val="14B73493"/>
    <w:rsid w:val="16647258"/>
    <w:rsid w:val="167A2FF9"/>
    <w:rsid w:val="167C4F98"/>
    <w:rsid w:val="1764587C"/>
    <w:rsid w:val="18581C69"/>
    <w:rsid w:val="1AEC0734"/>
    <w:rsid w:val="1DEF20B0"/>
    <w:rsid w:val="1FE305D3"/>
    <w:rsid w:val="1FF7AB17"/>
    <w:rsid w:val="214243FA"/>
    <w:rsid w:val="21AD613C"/>
    <w:rsid w:val="22467189"/>
    <w:rsid w:val="23370AEA"/>
    <w:rsid w:val="257A14F5"/>
    <w:rsid w:val="27196C26"/>
    <w:rsid w:val="29EF086F"/>
    <w:rsid w:val="2BC34C59"/>
    <w:rsid w:val="2EFFE297"/>
    <w:rsid w:val="301437CA"/>
    <w:rsid w:val="349D1F0A"/>
    <w:rsid w:val="34DD0473"/>
    <w:rsid w:val="392C0A3B"/>
    <w:rsid w:val="39A5152D"/>
    <w:rsid w:val="3A8E35DC"/>
    <w:rsid w:val="3C684897"/>
    <w:rsid w:val="433E495C"/>
    <w:rsid w:val="43780A4C"/>
    <w:rsid w:val="47A93AA8"/>
    <w:rsid w:val="489F2FD7"/>
    <w:rsid w:val="49D722FD"/>
    <w:rsid w:val="4AC27CB3"/>
    <w:rsid w:val="4B260C6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01024A"/>
    <w:rsid w:val="64C0607C"/>
    <w:rsid w:val="65756C86"/>
    <w:rsid w:val="674D385B"/>
    <w:rsid w:val="676F09E1"/>
    <w:rsid w:val="6CBE13CE"/>
    <w:rsid w:val="6F0A085C"/>
    <w:rsid w:val="71691990"/>
    <w:rsid w:val="71793A80"/>
    <w:rsid w:val="7357290B"/>
    <w:rsid w:val="756E3DEA"/>
    <w:rsid w:val="76FB1693"/>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w:basedOn w:val="1"/>
    <w:next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6"/>
    <w:qFormat/>
    <w:uiPriority w:val="0"/>
    <w:pPr>
      <w:tabs>
        <w:tab w:val="center" w:pos="4153"/>
        <w:tab w:val="right" w:pos="8306"/>
      </w:tabs>
      <w:snapToGrid w:val="0"/>
      <w:jc w:val="left"/>
    </w:pPr>
    <w:rPr>
      <w:sz w:val="18"/>
      <w:szCs w:val="18"/>
    </w:rPr>
  </w:style>
  <w:style w:type="paragraph" w:styleId="9">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paragraph" w:styleId="11">
    <w:name w:val="Body Text First Indent 2"/>
    <w:basedOn w:val="5"/>
    <w:next w:val="1"/>
    <w:unhideWhenUsed/>
    <w:qFormat/>
    <w:uiPriority w:val="99"/>
    <w:pPr>
      <w:spacing w:after="0"/>
      <w:ind w:left="0" w:leftChars="0" w:firstLine="420"/>
    </w:pPr>
    <w:rPr>
      <w:rFonts w:ascii="仿宋_GB2312" w:hAnsi="Calibri" w:eastAsia="仿宋_GB2312"/>
      <w:sz w:val="32"/>
      <w:szCs w:val="32"/>
    </w:rPr>
  </w:style>
  <w:style w:type="character" w:styleId="14">
    <w:name w:val="Strong"/>
    <w:qFormat/>
    <w:uiPriority w:val="0"/>
    <w:rPr>
      <w:b/>
    </w:rPr>
  </w:style>
  <w:style w:type="character" w:styleId="15">
    <w:name w:val="page number"/>
    <w:qFormat/>
    <w:uiPriority w:val="0"/>
  </w:style>
  <w:style w:type="character" w:customStyle="1" w:styleId="16">
    <w:name w:val="页脚 Char"/>
    <w:link w:val="8"/>
    <w:qFormat/>
    <w:uiPriority w:val="0"/>
    <w:rPr>
      <w:rFonts w:eastAsia="宋体"/>
      <w:kern w:val="2"/>
      <w:sz w:val="18"/>
      <w:szCs w:val="18"/>
      <w:lang w:val="en-US" w:eastAsia="zh-CN" w:bidi="ar-SA"/>
    </w:rPr>
  </w:style>
  <w:style w:type="character" w:customStyle="1" w:styleId="17">
    <w:name w:val="页眉 Char"/>
    <w:link w:val="9"/>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 w:type="character" w:customStyle="1" w:styleId="22">
    <w:name w:val="font31"/>
    <w:basedOn w:val="13"/>
    <w:qFormat/>
    <w:uiPriority w:val="0"/>
    <w:rPr>
      <w:rFonts w:hint="eastAsia" w:ascii="宋体" w:hAnsi="宋体" w:eastAsia="宋体" w:cs="宋体"/>
      <w:color w:val="000000"/>
      <w:sz w:val="18"/>
      <w:szCs w:val="18"/>
      <w:u w:val="none"/>
    </w:rPr>
  </w:style>
  <w:style w:type="character" w:customStyle="1" w:styleId="23">
    <w:name w:val="font11"/>
    <w:basedOn w:val="13"/>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file:///D:\Personal\HBDESKTOP\2024&#24180;&#24230;&#20915;&#31639;&#33609;&#26696;2025..6.16\&#39292;&#29366;&#22270;&#29983;&#25104;&#21442;&#32771;(1).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772.47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2e34d31-0890-40a2-80c6-e84648ef2ce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0"/>
    <c:plotArea>
      <c:layout/>
      <c:pieChart>
        <c:varyColors val="1"/>
        <c:ser>
          <c:idx val="0"/>
          <c:order val="0"/>
          <c:tx>
            <c:strRef>
              <c:f>'[饼状图生成参考(1).xls]Sheet1'!$B$1</c:f>
              <c:strCache>
                <c:ptCount val="1"/>
                <c:pt idx="0">
                  <c:v>支出决算</c:v>
                </c:pt>
              </c:strCache>
            </c:strRef>
          </c:tx>
          <c:explosion val="0"/>
          <c:dPt>
            <c:idx val="0"/>
            <c:bubble3D val="0"/>
            <c:explosion val="0"/>
            <c:spPr>
              <a:solidFill>
                <a:schemeClr val="accent1"/>
              </a:solidFill>
              <a:ln w="19050">
                <a:solidFill>
                  <a:schemeClr val="lt1"/>
                </a:solidFill>
              </a:ln>
              <a:effectLst/>
            </c:spPr>
          </c:dPt>
          <c:dPt>
            <c:idx val="1"/>
            <c:bubble3D val="0"/>
            <c:explosion val="0"/>
            <c:spPr>
              <a:solidFill>
                <a:schemeClr val="accent2"/>
              </a:solidFill>
              <a:ln w="19050">
                <a:solidFill>
                  <a:schemeClr val="lt1"/>
                </a:solidFill>
              </a:ln>
              <a:effectLst/>
            </c:spPr>
          </c:dPt>
          <c:dPt>
            <c:idx val="2"/>
            <c:bubble3D val="0"/>
            <c:explosion val="0"/>
            <c:spPr>
              <a:solidFill>
                <a:schemeClr val="accent3"/>
              </a:solidFill>
              <a:ln w="19050">
                <a:solidFill>
                  <a:schemeClr val="lt1"/>
                </a:solidFill>
              </a:ln>
              <a:effectLst/>
            </c:spPr>
          </c:dPt>
          <c:dPt>
            <c:idx val="3"/>
            <c:bubble3D val="0"/>
            <c:explosion val="0"/>
            <c:spPr>
              <a:solidFill>
                <a:schemeClr val="accent4"/>
              </a:solidFill>
              <a:ln w="19050">
                <a:solidFill>
                  <a:schemeClr val="lt1"/>
                </a:solidFill>
              </a:ln>
              <a:effectLst/>
            </c:spPr>
          </c:dPt>
          <c:dPt>
            <c:idx val="4"/>
            <c:bubble3D val="0"/>
            <c:explosion val="0"/>
            <c:spPr>
              <a:solidFill>
                <a:schemeClr val="accent5"/>
              </a:solidFill>
              <a:ln w="19050">
                <a:solidFill>
                  <a:schemeClr val="lt1"/>
                </a:solidFill>
              </a:ln>
              <a:effectLst/>
            </c:spPr>
          </c:dPt>
          <c:dPt>
            <c:idx val="5"/>
            <c:bubble3D val="0"/>
            <c:explosion val="0"/>
            <c:spPr>
              <a:solidFill>
                <a:schemeClr val="accent6"/>
              </a:solidFill>
              <a:ln w="19050">
                <a:solidFill>
                  <a:schemeClr val="lt1"/>
                </a:solidFill>
              </a:ln>
              <a:effectLst/>
            </c:spPr>
          </c:dPt>
          <c:dLbls>
            <c:numFmt formatCode="General" sourceLinked="1"/>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rgbClr val="969696">
                          <a:alpha val="100000"/>
                        </a:srgbClr>
                      </a:solidFill>
                      <a:prstDash val="solid"/>
                      <a:round/>
                    </a:ln>
                  </c:spPr>
                </c15:leaderLines>
              </c:ext>
            </c:extLst>
          </c:dLbls>
          <c:cat>
            <c:strRef>
              <c:f>'[饼状图生成参考(1).xls]Sheet1'!$A$2:$A$7</c:f>
              <c:strCache>
                <c:ptCount val="6"/>
                <c:pt idx="0">
                  <c:v>基本支出</c:v>
                </c:pt>
                <c:pt idx="1">
                  <c:v>项目支出</c:v>
                </c:pt>
                <c:pt idx="2">
                  <c:v>上缴上级支出</c:v>
                </c:pt>
                <c:pt idx="3">
                  <c:v>经营支出</c:v>
                </c:pt>
                <c:pt idx="4">
                  <c:v>对附属单位补助支出</c:v>
                </c:pt>
              </c:strCache>
            </c:strRef>
          </c:cat>
          <c:val>
            <c:numRef>
              <c:f>'[饼状图生成参考(1).xls]Sheet1'!$B$2:$B$7</c:f>
              <c:numCache>
                <c:formatCode>0.00%</c:formatCode>
                <c:ptCount val="6"/>
                <c:pt idx="0">
                  <c:v>0.9952</c:v>
                </c:pt>
                <c:pt idx="1">
                  <c:v>0.0048</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r"/>
      <c:legendEntry>
        <c:idx val="5"/>
        <c:delete val="1"/>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82cbed34-a887-4b1a-8fa2-720ae38c372a}"/>
      </c:ext>
    </c:extLst>
  </c:chart>
  <c:spPr>
    <a:solidFill>
      <a:schemeClr val="bg1"/>
    </a:solidFill>
    <a:ln w="9525" cap="flat" cmpd="sng" algn="ctr">
      <a:solidFill>
        <a:schemeClr val="tx1">
          <a:lumMod val="15000"/>
          <a:lumOff val="85000"/>
        </a:schemeClr>
      </a:solidFill>
      <a:prstDash val="solid"/>
      <a:round/>
    </a:ln>
    <a:effectLst/>
  </c:spPr>
  <c:txPr>
    <a:bodyPr wrap="square"/>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3966</Words>
  <Characters>4426</Characters>
  <Lines>44</Lines>
  <Paragraphs>12</Paragraphs>
  <TotalTime>8</TotalTime>
  <ScaleCrop>false</ScaleCrop>
  <LinksUpToDate>false</LinksUpToDate>
  <CharactersWithSpaces>4451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2025-09-24T01:06:00Z</cp:lastPrinted>
  <dcterms:modified xsi:type="dcterms:W3CDTF">2025-12-03T02:47:22Z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A7F78878FB63AC2F75B4B7682BD79272</vt:lpwstr>
  </property>
  <property fmtid="{D5CDD505-2E9C-101B-9397-08002B2CF9AE}" pid="4" name="KSOTemplateDocerSaveRecord">
    <vt:lpwstr>eyJoZGlkIjoiZTdmYzc3YzRkMzgzOTg1ZGFjMjc2YWMyNjk5YWM2MDkifQ==</vt:lpwstr>
  </property>
</Properties>
</file>